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43A" w:rsidRDefault="008B643A">
      <w:pPr>
        <w:pStyle w:val="Textbody"/>
        <w:spacing w:after="0"/>
        <w:jc w:val="center"/>
        <w:rPr>
          <w:rFonts w:ascii="Garamond" w:hAnsi="Garamond"/>
          <w:b/>
          <w:bCs/>
          <w:lang w:val="en-US"/>
        </w:rPr>
      </w:pPr>
    </w:p>
    <w:p w:rsidR="008B643A" w:rsidRDefault="008B643A">
      <w:pPr>
        <w:pStyle w:val="Textbody"/>
        <w:spacing w:after="0"/>
        <w:jc w:val="center"/>
        <w:rPr>
          <w:rFonts w:ascii="Garamond" w:hAnsi="Garamond"/>
          <w:b/>
          <w:bCs/>
          <w:lang w:val="en-US"/>
        </w:rPr>
      </w:pPr>
    </w:p>
    <w:p w:rsidR="008B643A" w:rsidRDefault="008B643A">
      <w:pPr>
        <w:pStyle w:val="Textbody"/>
        <w:spacing w:after="0"/>
        <w:jc w:val="center"/>
        <w:rPr>
          <w:rFonts w:ascii="Garamond" w:hAnsi="Garamond"/>
          <w:b/>
          <w:bCs/>
          <w:lang w:val="en-US"/>
        </w:rPr>
      </w:pPr>
    </w:p>
    <w:p w:rsidR="008B643A" w:rsidRDefault="008B643A">
      <w:pPr>
        <w:pStyle w:val="Textbody"/>
        <w:spacing w:after="0"/>
        <w:jc w:val="center"/>
        <w:rPr>
          <w:rFonts w:ascii="Garamond" w:hAnsi="Garamond"/>
          <w:b/>
          <w:bCs/>
          <w:lang w:val="en-US"/>
        </w:rPr>
      </w:pPr>
    </w:p>
    <w:p w:rsidR="008B643A" w:rsidRDefault="008B643A">
      <w:pPr>
        <w:pStyle w:val="Textbody"/>
        <w:spacing w:after="0"/>
        <w:jc w:val="center"/>
        <w:rPr>
          <w:rFonts w:ascii="Garamond" w:hAnsi="Garamond"/>
          <w:b/>
          <w:bCs/>
          <w:sz w:val="120"/>
          <w:szCs w:val="120"/>
          <w:lang w:val="en-US"/>
        </w:rPr>
      </w:pPr>
    </w:p>
    <w:p w:rsidR="008B643A" w:rsidRDefault="008B643A">
      <w:pPr>
        <w:pStyle w:val="Textbody"/>
        <w:spacing w:after="0"/>
        <w:jc w:val="center"/>
        <w:rPr>
          <w:rFonts w:ascii="Garamond" w:hAnsi="Garamond"/>
          <w:b/>
          <w:bCs/>
          <w:sz w:val="120"/>
          <w:szCs w:val="120"/>
          <w:lang w:val="en-US"/>
        </w:rPr>
      </w:pPr>
    </w:p>
    <w:p w:rsidR="008B643A" w:rsidRDefault="00204C39">
      <w:pPr>
        <w:pStyle w:val="Textbody"/>
        <w:spacing w:after="0"/>
        <w:jc w:val="center"/>
        <w:rPr>
          <w:rFonts w:ascii="Garamond" w:hAnsi="Garamond"/>
          <w:b/>
          <w:bCs/>
          <w:sz w:val="80"/>
          <w:szCs w:val="80"/>
          <w:lang w:val="en-US"/>
        </w:rPr>
      </w:pPr>
      <w:proofErr w:type="spellStart"/>
      <w:r>
        <w:rPr>
          <w:rFonts w:ascii="Garamond" w:hAnsi="Garamond"/>
          <w:b/>
          <w:bCs/>
          <w:sz w:val="120"/>
          <w:szCs w:val="120"/>
          <w:lang w:val="en-US"/>
        </w:rPr>
        <w:t>Cheburator</w:t>
      </w:r>
      <w:proofErr w:type="spellEnd"/>
    </w:p>
    <w:p w:rsidR="008B643A" w:rsidRDefault="008B643A">
      <w:pPr>
        <w:pStyle w:val="Textbody"/>
        <w:spacing w:after="0"/>
        <w:jc w:val="center"/>
        <w:rPr>
          <w:rFonts w:ascii="Garamond" w:hAnsi="Garamond"/>
          <w:b/>
          <w:bCs/>
          <w:sz w:val="80"/>
          <w:szCs w:val="80"/>
          <w:lang w:val="en-US"/>
        </w:rPr>
      </w:pPr>
    </w:p>
    <w:p w:rsidR="008B643A" w:rsidRDefault="00204C39">
      <w:pPr>
        <w:pStyle w:val="Textbody"/>
        <w:spacing w:after="0"/>
        <w:jc w:val="center"/>
        <w:rPr>
          <w:rFonts w:ascii="Garamond" w:hAnsi="Garamond"/>
          <w:b/>
          <w:bCs/>
          <w:i/>
          <w:iCs/>
          <w:sz w:val="80"/>
          <w:szCs w:val="80"/>
          <w:lang w:val="en-US"/>
        </w:rPr>
      </w:pPr>
      <w:r>
        <w:rPr>
          <w:rFonts w:ascii="Garamond" w:hAnsi="Garamond"/>
          <w:b/>
          <w:bCs/>
          <w:i/>
          <w:iCs/>
          <w:sz w:val="80"/>
          <w:szCs w:val="80"/>
          <w:lang w:val="en-US"/>
        </w:rPr>
        <w:t>user manual</w:t>
      </w:r>
    </w:p>
    <w:p w:rsidR="008B643A" w:rsidRDefault="008B643A">
      <w:pPr>
        <w:pStyle w:val="Textbody"/>
        <w:spacing w:after="0"/>
        <w:jc w:val="center"/>
        <w:rPr>
          <w:rFonts w:ascii="Garamond" w:hAnsi="Garamond"/>
          <w:b/>
          <w:bCs/>
          <w:i/>
          <w:iCs/>
          <w:sz w:val="80"/>
          <w:szCs w:val="80"/>
          <w:lang w:val="en-US"/>
        </w:rPr>
      </w:pPr>
    </w:p>
    <w:p w:rsidR="008B643A" w:rsidRDefault="00204C39">
      <w:pPr>
        <w:pStyle w:val="Textbody"/>
        <w:spacing w:after="0"/>
        <w:jc w:val="center"/>
        <w:rPr>
          <w:rFonts w:ascii="Garamond" w:hAnsi="Garamond"/>
          <w:sz w:val="36"/>
          <w:szCs w:val="36"/>
          <w:lang w:val="en-US"/>
        </w:rPr>
      </w:pPr>
      <w:r>
        <w:rPr>
          <w:rFonts w:ascii="Garamond" w:hAnsi="Garamond"/>
          <w:sz w:val="36"/>
          <w:szCs w:val="36"/>
          <w:lang w:val="en-US"/>
        </w:rPr>
        <w:t xml:space="preserve">version </w:t>
      </w:r>
      <w:r w:rsidR="000A4C03">
        <w:rPr>
          <w:rFonts w:ascii="Garamond" w:hAnsi="Garamond"/>
          <w:sz w:val="36"/>
          <w:szCs w:val="36"/>
          <w:lang w:val="en-US"/>
        </w:rPr>
        <w:t>1</w:t>
      </w:r>
      <w:r>
        <w:rPr>
          <w:rFonts w:ascii="Garamond" w:hAnsi="Garamond"/>
          <w:sz w:val="36"/>
          <w:szCs w:val="36"/>
          <w:lang w:val="en-US"/>
        </w:rPr>
        <w:t>.</w:t>
      </w:r>
      <w:r w:rsidR="00843872">
        <w:rPr>
          <w:rFonts w:ascii="Garamond" w:hAnsi="Garamond"/>
          <w:sz w:val="36"/>
          <w:szCs w:val="36"/>
          <w:lang w:val="en-US"/>
        </w:rPr>
        <w:t>2</w:t>
      </w:r>
      <w:r>
        <w:rPr>
          <w:rFonts w:ascii="Garamond" w:hAnsi="Garamond"/>
          <w:sz w:val="36"/>
          <w:szCs w:val="36"/>
          <w:lang w:val="en-US"/>
        </w:rPr>
        <w:t>.</w:t>
      </w:r>
      <w:r w:rsidR="00751CF8">
        <w:rPr>
          <w:rFonts w:ascii="Garamond" w:hAnsi="Garamond"/>
          <w:sz w:val="36"/>
          <w:szCs w:val="36"/>
          <w:lang w:val="en-US"/>
        </w:rPr>
        <w:t>0</w:t>
      </w:r>
    </w:p>
    <w:p w:rsidR="008B643A" w:rsidRDefault="00843872">
      <w:pPr>
        <w:pStyle w:val="Textbody"/>
        <w:spacing w:after="0"/>
        <w:jc w:val="center"/>
        <w:rPr>
          <w:rFonts w:ascii="Garamond" w:hAnsi="Garamond"/>
          <w:sz w:val="36"/>
          <w:szCs w:val="36"/>
          <w:lang w:val="en-US"/>
        </w:rPr>
      </w:pPr>
      <w:r>
        <w:rPr>
          <w:rFonts w:ascii="Garamond" w:hAnsi="Garamond"/>
          <w:sz w:val="36"/>
          <w:szCs w:val="36"/>
          <w:lang w:val="en-US"/>
        </w:rPr>
        <w:t>July</w:t>
      </w:r>
      <w:r w:rsidR="00204C39">
        <w:rPr>
          <w:rFonts w:ascii="Garamond" w:hAnsi="Garamond"/>
          <w:sz w:val="36"/>
          <w:szCs w:val="36"/>
          <w:lang w:val="en-US"/>
        </w:rPr>
        <w:t>, 20</w:t>
      </w:r>
      <w:r w:rsidR="000A4C03">
        <w:rPr>
          <w:rFonts w:ascii="Garamond" w:hAnsi="Garamond"/>
          <w:sz w:val="36"/>
          <w:szCs w:val="36"/>
          <w:lang w:val="en-US"/>
        </w:rPr>
        <w:t>14</w:t>
      </w:r>
    </w:p>
    <w:p w:rsidR="008B643A" w:rsidRDefault="008B643A">
      <w:pPr>
        <w:pStyle w:val="Textbody"/>
        <w:spacing w:after="0"/>
        <w:jc w:val="center"/>
        <w:rPr>
          <w:rFonts w:ascii="Garamond" w:hAnsi="Garamond"/>
          <w:b/>
          <w:bCs/>
          <w:i/>
          <w:iCs/>
          <w:sz w:val="40"/>
          <w:szCs w:val="40"/>
          <w:lang w:val="en-US"/>
        </w:rPr>
      </w:pPr>
    </w:p>
    <w:p w:rsidR="008B643A" w:rsidRDefault="008B643A">
      <w:pPr>
        <w:pStyle w:val="Textbody"/>
        <w:spacing w:after="0"/>
        <w:jc w:val="center"/>
        <w:rPr>
          <w:rFonts w:ascii="Garamond" w:hAnsi="Garamond"/>
          <w:b/>
          <w:bCs/>
          <w:i/>
          <w:iCs/>
          <w:sz w:val="80"/>
          <w:szCs w:val="80"/>
          <w:lang w:val="en-US"/>
        </w:rPr>
      </w:pPr>
    </w:p>
    <w:p w:rsidR="008B643A" w:rsidRDefault="008B643A">
      <w:pPr>
        <w:pStyle w:val="Textbody"/>
        <w:spacing w:after="0"/>
        <w:jc w:val="center"/>
        <w:rPr>
          <w:rFonts w:ascii="Garamond" w:hAnsi="Garamond"/>
          <w:b/>
          <w:bCs/>
          <w:i/>
          <w:iCs/>
          <w:sz w:val="40"/>
          <w:szCs w:val="40"/>
          <w:lang w:val="en-US"/>
        </w:rPr>
      </w:pPr>
    </w:p>
    <w:p w:rsidR="008B643A" w:rsidRDefault="008B643A">
      <w:pPr>
        <w:pStyle w:val="Textbody"/>
        <w:spacing w:after="0"/>
        <w:jc w:val="center"/>
        <w:rPr>
          <w:rFonts w:ascii="Garamond" w:hAnsi="Garamond"/>
          <w:b/>
          <w:bCs/>
          <w:i/>
          <w:iCs/>
          <w:sz w:val="40"/>
          <w:szCs w:val="40"/>
          <w:lang w:val="en-US"/>
        </w:rPr>
      </w:pPr>
    </w:p>
    <w:p w:rsidR="008B643A" w:rsidRDefault="008B643A">
      <w:pPr>
        <w:pStyle w:val="Textbody"/>
        <w:spacing w:after="0"/>
        <w:jc w:val="center"/>
        <w:rPr>
          <w:rFonts w:ascii="Garamond" w:hAnsi="Garamond"/>
          <w:b/>
          <w:bCs/>
          <w:i/>
          <w:iCs/>
          <w:sz w:val="40"/>
          <w:szCs w:val="40"/>
          <w:lang w:val="en-US"/>
        </w:rPr>
      </w:pPr>
    </w:p>
    <w:p w:rsidR="008B643A" w:rsidRDefault="008B643A">
      <w:pPr>
        <w:pStyle w:val="Textbody"/>
        <w:spacing w:after="0"/>
        <w:jc w:val="center"/>
        <w:rPr>
          <w:rFonts w:ascii="Garamond" w:hAnsi="Garamond"/>
          <w:b/>
          <w:bCs/>
          <w:i/>
          <w:iCs/>
          <w:sz w:val="40"/>
          <w:szCs w:val="40"/>
          <w:lang w:val="en-US"/>
        </w:rPr>
      </w:pPr>
    </w:p>
    <w:p w:rsidR="008B643A" w:rsidRDefault="008B643A">
      <w:pPr>
        <w:pStyle w:val="Textbody"/>
        <w:spacing w:after="0"/>
        <w:jc w:val="center"/>
        <w:rPr>
          <w:rFonts w:ascii="Garamond" w:hAnsi="Garamond"/>
          <w:b/>
          <w:bCs/>
          <w:i/>
          <w:iCs/>
          <w:sz w:val="36"/>
          <w:szCs w:val="36"/>
          <w:lang w:val="en-US"/>
        </w:rPr>
      </w:pPr>
    </w:p>
    <w:p w:rsidR="008B643A" w:rsidRDefault="008B643A">
      <w:pPr>
        <w:pStyle w:val="Textbody"/>
        <w:spacing w:after="0"/>
        <w:jc w:val="center"/>
        <w:rPr>
          <w:rFonts w:ascii="Garamond" w:hAnsi="Garamond"/>
          <w:b/>
          <w:bCs/>
          <w:i/>
          <w:iCs/>
          <w:sz w:val="36"/>
          <w:szCs w:val="36"/>
          <w:lang w:val="en-US"/>
        </w:rPr>
      </w:pPr>
    </w:p>
    <w:p w:rsidR="008B643A" w:rsidRDefault="008B643A">
      <w:pPr>
        <w:pStyle w:val="Textbody"/>
        <w:spacing w:after="0"/>
        <w:jc w:val="center"/>
        <w:rPr>
          <w:rFonts w:ascii="Garamond" w:hAnsi="Garamond"/>
          <w:b/>
          <w:bCs/>
          <w:i/>
          <w:iCs/>
          <w:sz w:val="36"/>
          <w:szCs w:val="36"/>
          <w:lang w:val="en-US"/>
        </w:rPr>
      </w:pPr>
    </w:p>
    <w:p w:rsidR="008B643A" w:rsidRDefault="008B643A">
      <w:pPr>
        <w:pStyle w:val="Textbody"/>
        <w:spacing w:after="0"/>
        <w:jc w:val="center"/>
        <w:rPr>
          <w:rFonts w:ascii="Garamond" w:hAnsi="Garamond"/>
          <w:b/>
          <w:bCs/>
          <w:i/>
          <w:iCs/>
          <w:sz w:val="36"/>
          <w:szCs w:val="36"/>
          <w:lang w:val="en-US"/>
        </w:rPr>
      </w:pPr>
    </w:p>
    <w:p w:rsidR="008B643A" w:rsidRDefault="008B643A">
      <w:pPr>
        <w:pStyle w:val="Textbody"/>
        <w:spacing w:after="0"/>
        <w:jc w:val="center"/>
        <w:rPr>
          <w:rFonts w:ascii="Garamond" w:hAnsi="Garamond"/>
          <w:b/>
          <w:bCs/>
          <w:i/>
          <w:iCs/>
          <w:lang w:val="en-US"/>
        </w:rPr>
      </w:pPr>
    </w:p>
    <w:p w:rsidR="008B643A" w:rsidRDefault="00204C39">
      <w:pPr>
        <w:pStyle w:val="Textbody"/>
        <w:spacing w:after="0"/>
        <w:jc w:val="center"/>
        <w:rPr>
          <w:rFonts w:ascii="Garamond" w:hAnsi="Garamond"/>
          <w:sz w:val="40"/>
          <w:szCs w:val="40"/>
          <w:lang w:val="en-US"/>
        </w:rPr>
        <w:sectPr w:rsidR="008B643A">
          <w:pgSz w:w="11906" w:h="16838"/>
          <w:pgMar w:top="1134" w:right="1134" w:bottom="1134" w:left="1134" w:header="720" w:footer="720" w:gutter="0"/>
          <w:cols w:space="720"/>
        </w:sectPr>
      </w:pPr>
      <w:r>
        <w:rPr>
          <w:rFonts w:ascii="Garamond" w:hAnsi="Garamond"/>
          <w:sz w:val="40"/>
          <w:szCs w:val="40"/>
          <w:lang w:val="en-US"/>
        </w:rPr>
        <w:t>Copyright © 2004-20</w:t>
      </w:r>
      <w:r w:rsidR="000A4C03">
        <w:rPr>
          <w:rFonts w:ascii="Garamond" w:hAnsi="Garamond"/>
          <w:sz w:val="40"/>
          <w:szCs w:val="40"/>
          <w:lang w:val="en-US"/>
        </w:rPr>
        <w:t>14</w:t>
      </w:r>
      <w:r>
        <w:rPr>
          <w:rFonts w:ascii="Garamond" w:hAnsi="Garamond"/>
          <w:sz w:val="40"/>
          <w:szCs w:val="40"/>
          <w:lang w:val="en-US"/>
        </w:rPr>
        <w:t>, Dmitry Nevozhay</w:t>
      </w:r>
    </w:p>
    <w:p w:rsidR="008B643A" w:rsidRPr="005C7D58" w:rsidRDefault="005C7D58" w:rsidP="005C7D58">
      <w:pPr>
        <w:pStyle w:val="Textbody"/>
        <w:rPr>
          <w:rFonts w:cs="Times New Roman"/>
          <w:b/>
          <w:color w:val="000080"/>
          <w:sz w:val="40"/>
          <w:szCs w:val="40"/>
          <w:lang w:val="en-US"/>
        </w:rPr>
      </w:pPr>
      <w:r w:rsidRPr="005C7D58">
        <w:rPr>
          <w:rFonts w:cs="Times New Roman"/>
          <w:b/>
          <w:color w:val="000080"/>
          <w:sz w:val="40"/>
          <w:szCs w:val="40"/>
          <w:lang w:val="en-US"/>
        </w:rPr>
        <w:lastRenderedPageBreak/>
        <w:t>Table of Contents</w:t>
      </w:r>
    </w:p>
    <w:p w:rsidR="005C7D58" w:rsidRDefault="005C7D58">
      <w:pPr>
        <w:pStyle w:val="Textbody"/>
        <w:spacing w:after="0"/>
        <w:jc w:val="center"/>
        <w:rPr>
          <w:rFonts w:ascii="Garamond" w:hAnsi="Garamond"/>
          <w:sz w:val="12"/>
          <w:szCs w:val="12"/>
          <w:lang w:val="en-US"/>
        </w:rPr>
      </w:pPr>
    </w:p>
    <w:p w:rsidR="00BA38DF" w:rsidRPr="009C0F30" w:rsidRDefault="00E326FE">
      <w:pPr>
        <w:pStyle w:val="11"/>
        <w:tabs>
          <w:tab w:val="right" w:leader="dot" w:pos="9627"/>
        </w:tabs>
        <w:rPr>
          <w:rFonts w:asciiTheme="minorHAnsi" w:eastAsiaTheme="minorEastAsia" w:hAnsiTheme="minorHAnsi" w:cstheme="minorBidi"/>
          <w:noProof/>
          <w:kern w:val="0"/>
          <w:sz w:val="22"/>
          <w:szCs w:val="22"/>
          <w:lang w:val="en-US"/>
        </w:rPr>
      </w:pPr>
      <w:r w:rsidRPr="00E326FE">
        <w:rPr>
          <w:b/>
          <w:bCs/>
        </w:rPr>
        <w:fldChar w:fldCharType="begin"/>
      </w:r>
      <w:r w:rsidR="00204C39" w:rsidRPr="009C0F30">
        <w:rPr>
          <w:sz w:val="28"/>
          <w:szCs w:val="28"/>
          <w:lang w:val="en-US"/>
        </w:rPr>
        <w:instrText xml:space="preserve"> TOC \o "1-9" \l 1-9 </w:instrText>
      </w:r>
      <w:r w:rsidRPr="00E326FE">
        <w:rPr>
          <w:rFonts w:eastAsia="MS Mincho"/>
          <w:b/>
          <w:bCs/>
          <w:sz w:val="28"/>
          <w:szCs w:val="28"/>
        </w:rPr>
        <w:fldChar w:fldCharType="separate"/>
      </w:r>
      <w:r w:rsidR="00BA38DF" w:rsidRPr="009C0F30">
        <w:rPr>
          <w:noProof/>
          <w:lang w:val="en-US"/>
        </w:rPr>
        <w:t>1. Introduction and the purpose of this software</w:t>
      </w:r>
      <w:r w:rsidR="00BA38DF" w:rsidRPr="009C0F30">
        <w:rPr>
          <w:noProof/>
          <w:lang w:val="en-US"/>
        </w:rPr>
        <w:tab/>
      </w:r>
      <w:r w:rsidRPr="009C0F30">
        <w:rPr>
          <w:noProof/>
        </w:rPr>
        <w:fldChar w:fldCharType="begin"/>
      </w:r>
      <w:r w:rsidR="00BA38DF" w:rsidRPr="009C0F30">
        <w:rPr>
          <w:noProof/>
          <w:lang w:val="en-US"/>
        </w:rPr>
        <w:instrText xml:space="preserve"> PAGEREF _Toc388197845 \h </w:instrText>
      </w:r>
      <w:r w:rsidRPr="009C0F30">
        <w:rPr>
          <w:noProof/>
        </w:rPr>
      </w:r>
      <w:r w:rsidRPr="009C0F30">
        <w:rPr>
          <w:noProof/>
        </w:rPr>
        <w:fldChar w:fldCharType="separate"/>
      </w:r>
      <w:r w:rsidR="009C0F30" w:rsidRPr="009C0F30">
        <w:rPr>
          <w:noProof/>
          <w:lang w:val="en-US"/>
        </w:rPr>
        <w:t>3</w:t>
      </w:r>
      <w:r w:rsidRPr="009C0F30">
        <w:rPr>
          <w:noProof/>
        </w:rPr>
        <w:fldChar w:fldCharType="end"/>
      </w:r>
    </w:p>
    <w:p w:rsidR="00BA38DF" w:rsidRPr="009C0F30" w:rsidRDefault="00BA38DF">
      <w:pPr>
        <w:pStyle w:val="11"/>
        <w:tabs>
          <w:tab w:val="right" w:leader="dot" w:pos="9627"/>
        </w:tabs>
        <w:rPr>
          <w:rFonts w:asciiTheme="minorHAnsi" w:eastAsiaTheme="minorEastAsia" w:hAnsiTheme="minorHAnsi" w:cstheme="minorBidi"/>
          <w:noProof/>
          <w:kern w:val="0"/>
          <w:sz w:val="22"/>
          <w:szCs w:val="22"/>
          <w:lang w:val="en-US"/>
        </w:rPr>
      </w:pPr>
      <w:r w:rsidRPr="009C0F30">
        <w:rPr>
          <w:noProof/>
          <w:lang w:val="en-US"/>
        </w:rPr>
        <w:t>2. Implementation and availability</w:t>
      </w:r>
      <w:r w:rsidRPr="009C0F30">
        <w:rPr>
          <w:noProof/>
          <w:lang w:val="en-US"/>
        </w:rPr>
        <w:tab/>
      </w:r>
      <w:r w:rsidR="00E326FE" w:rsidRPr="009C0F30">
        <w:rPr>
          <w:noProof/>
        </w:rPr>
        <w:fldChar w:fldCharType="begin"/>
      </w:r>
      <w:r w:rsidRPr="009C0F30">
        <w:rPr>
          <w:noProof/>
          <w:lang w:val="en-US"/>
        </w:rPr>
        <w:instrText xml:space="preserve"> PAGEREF _Toc388197846 \h </w:instrText>
      </w:r>
      <w:r w:rsidR="00E326FE" w:rsidRPr="009C0F30">
        <w:rPr>
          <w:noProof/>
        </w:rPr>
      </w:r>
      <w:r w:rsidR="00E326FE" w:rsidRPr="009C0F30">
        <w:rPr>
          <w:noProof/>
        </w:rPr>
        <w:fldChar w:fldCharType="separate"/>
      </w:r>
      <w:r w:rsidR="009C0F30" w:rsidRPr="009C0F30">
        <w:rPr>
          <w:noProof/>
          <w:lang w:val="en-US"/>
        </w:rPr>
        <w:t>3</w:t>
      </w:r>
      <w:r w:rsidR="00E326FE" w:rsidRPr="009C0F30">
        <w:rPr>
          <w:noProof/>
        </w:rPr>
        <w:fldChar w:fldCharType="end"/>
      </w:r>
    </w:p>
    <w:p w:rsidR="00BA38DF" w:rsidRPr="009C0F30" w:rsidRDefault="00BA38DF">
      <w:pPr>
        <w:pStyle w:val="11"/>
        <w:tabs>
          <w:tab w:val="right" w:leader="dot" w:pos="9627"/>
        </w:tabs>
        <w:rPr>
          <w:rFonts w:asciiTheme="minorHAnsi" w:eastAsiaTheme="minorEastAsia" w:hAnsiTheme="minorHAnsi" w:cstheme="minorBidi"/>
          <w:noProof/>
          <w:kern w:val="0"/>
          <w:sz w:val="22"/>
          <w:szCs w:val="22"/>
          <w:lang w:val="en-US"/>
        </w:rPr>
      </w:pPr>
      <w:r w:rsidRPr="009C0F30">
        <w:rPr>
          <w:noProof/>
          <w:lang w:val="en-US"/>
        </w:rPr>
        <w:t>3. Usage description</w:t>
      </w:r>
      <w:r w:rsidRPr="009C0F30">
        <w:rPr>
          <w:noProof/>
          <w:lang w:val="en-US"/>
        </w:rPr>
        <w:tab/>
      </w:r>
      <w:r w:rsidR="00E326FE" w:rsidRPr="009C0F30">
        <w:rPr>
          <w:noProof/>
        </w:rPr>
        <w:fldChar w:fldCharType="begin"/>
      </w:r>
      <w:r w:rsidRPr="009C0F30">
        <w:rPr>
          <w:noProof/>
          <w:lang w:val="en-US"/>
        </w:rPr>
        <w:instrText xml:space="preserve"> PAGEREF _Toc388197847 \h </w:instrText>
      </w:r>
      <w:r w:rsidR="00E326FE" w:rsidRPr="009C0F30">
        <w:rPr>
          <w:noProof/>
        </w:rPr>
      </w:r>
      <w:r w:rsidR="00E326FE" w:rsidRPr="009C0F30">
        <w:rPr>
          <w:noProof/>
        </w:rPr>
        <w:fldChar w:fldCharType="separate"/>
      </w:r>
      <w:r w:rsidR="009C0F30" w:rsidRPr="009C0F30">
        <w:rPr>
          <w:noProof/>
          <w:lang w:val="en-US"/>
        </w:rPr>
        <w:t>4</w:t>
      </w:r>
      <w:r w:rsidR="00E326FE" w:rsidRPr="009C0F30">
        <w:rPr>
          <w:noProof/>
        </w:rPr>
        <w:fldChar w:fldCharType="end"/>
      </w:r>
    </w:p>
    <w:p w:rsidR="00BA38DF" w:rsidRPr="009C0F30" w:rsidRDefault="00BA38DF">
      <w:pPr>
        <w:pStyle w:val="2"/>
        <w:tabs>
          <w:tab w:val="right" w:leader="dot" w:pos="9627"/>
        </w:tabs>
        <w:rPr>
          <w:rFonts w:asciiTheme="minorHAnsi" w:eastAsiaTheme="minorEastAsia" w:hAnsiTheme="minorHAnsi" w:cstheme="minorBidi"/>
          <w:noProof/>
          <w:kern w:val="0"/>
          <w:sz w:val="22"/>
          <w:szCs w:val="22"/>
          <w:lang w:val="en-US"/>
        </w:rPr>
      </w:pPr>
      <w:r w:rsidRPr="009C0F30">
        <w:rPr>
          <w:noProof/>
          <w:lang w:val="en-US"/>
        </w:rPr>
        <w:t>3.1. Prerequisites for the tests analyzed by the Cheburator</w:t>
      </w:r>
      <w:r w:rsidRPr="009C0F30">
        <w:rPr>
          <w:noProof/>
          <w:lang w:val="en-US"/>
        </w:rPr>
        <w:tab/>
      </w:r>
      <w:r w:rsidR="00E326FE" w:rsidRPr="009C0F30">
        <w:rPr>
          <w:noProof/>
        </w:rPr>
        <w:fldChar w:fldCharType="begin"/>
      </w:r>
      <w:r w:rsidRPr="009C0F30">
        <w:rPr>
          <w:noProof/>
          <w:lang w:val="en-US"/>
        </w:rPr>
        <w:instrText xml:space="preserve"> PAGEREF _Toc388197848 \h </w:instrText>
      </w:r>
      <w:r w:rsidR="00E326FE" w:rsidRPr="009C0F30">
        <w:rPr>
          <w:noProof/>
        </w:rPr>
      </w:r>
      <w:r w:rsidR="00E326FE" w:rsidRPr="009C0F30">
        <w:rPr>
          <w:noProof/>
        </w:rPr>
        <w:fldChar w:fldCharType="separate"/>
      </w:r>
      <w:r w:rsidR="009C0F30" w:rsidRPr="009C0F30">
        <w:rPr>
          <w:noProof/>
          <w:lang w:val="en-US"/>
        </w:rPr>
        <w:t>4</w:t>
      </w:r>
      <w:r w:rsidR="00E326FE" w:rsidRPr="009C0F30">
        <w:rPr>
          <w:noProof/>
        </w:rPr>
        <w:fldChar w:fldCharType="end"/>
      </w:r>
    </w:p>
    <w:p w:rsidR="00BA38DF" w:rsidRPr="009C0F30" w:rsidRDefault="00BA38DF">
      <w:pPr>
        <w:pStyle w:val="2"/>
        <w:tabs>
          <w:tab w:val="right" w:leader="dot" w:pos="9627"/>
        </w:tabs>
        <w:rPr>
          <w:rFonts w:asciiTheme="minorHAnsi" w:eastAsiaTheme="minorEastAsia" w:hAnsiTheme="minorHAnsi" w:cstheme="minorBidi"/>
          <w:noProof/>
          <w:kern w:val="0"/>
          <w:sz w:val="22"/>
          <w:szCs w:val="22"/>
          <w:lang w:val="en-US"/>
        </w:rPr>
      </w:pPr>
      <w:r w:rsidRPr="009C0F30">
        <w:rPr>
          <w:noProof/>
          <w:lang w:val="en-US"/>
        </w:rPr>
        <w:t>3.2. Data loading and built-in converter</w:t>
      </w:r>
      <w:r w:rsidRPr="009C0F30">
        <w:rPr>
          <w:noProof/>
          <w:lang w:val="en-US"/>
        </w:rPr>
        <w:tab/>
      </w:r>
      <w:r w:rsidR="00E326FE" w:rsidRPr="009C0F30">
        <w:rPr>
          <w:noProof/>
        </w:rPr>
        <w:fldChar w:fldCharType="begin"/>
      </w:r>
      <w:r w:rsidRPr="009C0F30">
        <w:rPr>
          <w:noProof/>
          <w:lang w:val="en-US"/>
        </w:rPr>
        <w:instrText xml:space="preserve"> PAGEREF _Toc388197849 \h </w:instrText>
      </w:r>
      <w:r w:rsidR="00E326FE" w:rsidRPr="009C0F30">
        <w:rPr>
          <w:noProof/>
        </w:rPr>
      </w:r>
      <w:r w:rsidR="00E326FE" w:rsidRPr="009C0F30">
        <w:rPr>
          <w:noProof/>
        </w:rPr>
        <w:fldChar w:fldCharType="separate"/>
      </w:r>
      <w:r w:rsidR="009C0F30" w:rsidRPr="009C0F30">
        <w:rPr>
          <w:noProof/>
          <w:lang w:val="en-US"/>
        </w:rPr>
        <w:t>5</w:t>
      </w:r>
      <w:r w:rsidR="00E326FE" w:rsidRPr="009C0F30">
        <w:rPr>
          <w:noProof/>
        </w:rPr>
        <w:fldChar w:fldCharType="end"/>
      </w:r>
    </w:p>
    <w:p w:rsidR="00BA38DF" w:rsidRPr="009C0F30" w:rsidRDefault="00BA38DF">
      <w:pPr>
        <w:pStyle w:val="2"/>
        <w:tabs>
          <w:tab w:val="right" w:leader="dot" w:pos="9627"/>
        </w:tabs>
        <w:rPr>
          <w:rFonts w:asciiTheme="minorHAnsi" w:eastAsiaTheme="minorEastAsia" w:hAnsiTheme="minorHAnsi" w:cstheme="minorBidi"/>
          <w:noProof/>
          <w:kern w:val="0"/>
          <w:sz w:val="22"/>
          <w:szCs w:val="22"/>
          <w:lang w:val="en-US"/>
        </w:rPr>
      </w:pPr>
      <w:r w:rsidRPr="009C0F30">
        <w:rPr>
          <w:noProof/>
          <w:lang w:val="en-US"/>
        </w:rPr>
        <w:t>3.3. Entering the test parameters</w:t>
      </w:r>
      <w:r w:rsidRPr="009C0F30">
        <w:rPr>
          <w:noProof/>
          <w:lang w:val="en-US"/>
        </w:rPr>
        <w:tab/>
      </w:r>
      <w:r w:rsidR="00E326FE" w:rsidRPr="009C0F30">
        <w:rPr>
          <w:noProof/>
        </w:rPr>
        <w:fldChar w:fldCharType="begin"/>
      </w:r>
      <w:r w:rsidRPr="009C0F30">
        <w:rPr>
          <w:noProof/>
          <w:lang w:val="en-US"/>
        </w:rPr>
        <w:instrText xml:space="preserve"> PAGEREF _Toc388197850 \h </w:instrText>
      </w:r>
      <w:r w:rsidR="00E326FE" w:rsidRPr="009C0F30">
        <w:rPr>
          <w:noProof/>
        </w:rPr>
      </w:r>
      <w:r w:rsidR="00E326FE" w:rsidRPr="009C0F30">
        <w:rPr>
          <w:noProof/>
        </w:rPr>
        <w:fldChar w:fldCharType="separate"/>
      </w:r>
      <w:r w:rsidR="009C0F30" w:rsidRPr="009C0F30">
        <w:rPr>
          <w:noProof/>
          <w:lang w:val="en-US"/>
        </w:rPr>
        <w:t>6</w:t>
      </w:r>
      <w:r w:rsidR="00E326FE" w:rsidRPr="009C0F30">
        <w:rPr>
          <w:noProof/>
        </w:rPr>
        <w:fldChar w:fldCharType="end"/>
      </w:r>
    </w:p>
    <w:p w:rsidR="00BA38DF" w:rsidRPr="009C0F30" w:rsidRDefault="00BA38DF">
      <w:pPr>
        <w:pStyle w:val="2"/>
        <w:tabs>
          <w:tab w:val="right" w:leader="dot" w:pos="9627"/>
        </w:tabs>
        <w:rPr>
          <w:rFonts w:asciiTheme="minorHAnsi" w:eastAsiaTheme="minorEastAsia" w:hAnsiTheme="minorHAnsi" w:cstheme="minorBidi"/>
          <w:noProof/>
          <w:kern w:val="0"/>
          <w:sz w:val="22"/>
          <w:szCs w:val="22"/>
          <w:lang w:val="en-US"/>
        </w:rPr>
      </w:pPr>
      <w:r w:rsidRPr="009C0F30">
        <w:rPr>
          <w:rFonts w:cs="Times New Roman"/>
          <w:noProof/>
          <w:lang w:val="en-US"/>
        </w:rPr>
        <w:t>3.4. Absolute and relative IC</w:t>
      </w:r>
      <w:r w:rsidRPr="009C0F30">
        <w:rPr>
          <w:rFonts w:cs="Times New Roman"/>
          <w:noProof/>
          <w:vertAlign w:val="subscript"/>
          <w:lang w:val="en-US"/>
        </w:rPr>
        <w:t>50</w:t>
      </w:r>
      <w:r w:rsidRPr="009C0F30">
        <w:rPr>
          <w:rFonts w:cs="Times New Roman"/>
          <w:noProof/>
          <w:lang w:val="en-US"/>
        </w:rPr>
        <w:t xml:space="preserve"> values</w:t>
      </w:r>
      <w:r w:rsidRPr="009C0F30">
        <w:rPr>
          <w:noProof/>
          <w:lang w:val="en-US"/>
        </w:rPr>
        <w:tab/>
      </w:r>
      <w:r w:rsidR="00E326FE" w:rsidRPr="009C0F30">
        <w:rPr>
          <w:noProof/>
        </w:rPr>
        <w:fldChar w:fldCharType="begin"/>
      </w:r>
      <w:r w:rsidRPr="009C0F30">
        <w:rPr>
          <w:noProof/>
          <w:lang w:val="en-US"/>
        </w:rPr>
        <w:instrText xml:space="preserve"> PAGEREF _Toc388197851 \h </w:instrText>
      </w:r>
      <w:r w:rsidR="00E326FE" w:rsidRPr="009C0F30">
        <w:rPr>
          <w:noProof/>
        </w:rPr>
      </w:r>
      <w:r w:rsidR="00E326FE" w:rsidRPr="009C0F30">
        <w:rPr>
          <w:noProof/>
        </w:rPr>
        <w:fldChar w:fldCharType="separate"/>
      </w:r>
      <w:r w:rsidR="009C0F30" w:rsidRPr="009C0F30">
        <w:rPr>
          <w:noProof/>
          <w:lang w:val="en-US"/>
        </w:rPr>
        <w:t>8</w:t>
      </w:r>
      <w:r w:rsidR="00E326FE" w:rsidRPr="009C0F30">
        <w:rPr>
          <w:noProof/>
        </w:rPr>
        <w:fldChar w:fldCharType="end"/>
      </w:r>
    </w:p>
    <w:p w:rsidR="005C7D58" w:rsidRPr="009C0F30" w:rsidRDefault="005C7D58" w:rsidP="005C7D58">
      <w:pPr>
        <w:pStyle w:val="2"/>
        <w:tabs>
          <w:tab w:val="right" w:leader="dot" w:pos="9627"/>
        </w:tabs>
        <w:rPr>
          <w:rFonts w:asciiTheme="minorHAnsi" w:eastAsiaTheme="minorEastAsia" w:hAnsiTheme="minorHAnsi" w:cstheme="minorBidi"/>
          <w:noProof/>
          <w:kern w:val="0"/>
          <w:sz w:val="22"/>
          <w:szCs w:val="22"/>
          <w:lang w:val="en-US"/>
        </w:rPr>
      </w:pPr>
      <w:r w:rsidRPr="009C0F30">
        <w:rPr>
          <w:rFonts w:cs="Times New Roman"/>
          <w:noProof/>
          <w:lang w:val="en-US"/>
        </w:rPr>
        <w:t>3.5. Data analysis and the selection of the method</w:t>
      </w:r>
      <w:r w:rsidRPr="009C0F30">
        <w:rPr>
          <w:noProof/>
          <w:lang w:val="en-US"/>
        </w:rPr>
        <w:tab/>
      </w:r>
      <w:r w:rsidR="00E326FE" w:rsidRPr="009C0F30">
        <w:rPr>
          <w:noProof/>
        </w:rPr>
        <w:fldChar w:fldCharType="begin"/>
      </w:r>
      <w:r w:rsidRPr="009C0F30">
        <w:rPr>
          <w:noProof/>
          <w:lang w:val="en-US"/>
        </w:rPr>
        <w:instrText xml:space="preserve"> PAGEREF _Toc388197851 \h </w:instrText>
      </w:r>
      <w:r w:rsidR="00E326FE" w:rsidRPr="009C0F30">
        <w:rPr>
          <w:noProof/>
        </w:rPr>
      </w:r>
      <w:r w:rsidR="00E326FE" w:rsidRPr="009C0F30">
        <w:rPr>
          <w:noProof/>
        </w:rPr>
        <w:fldChar w:fldCharType="separate"/>
      </w:r>
      <w:r w:rsidR="009C0F30" w:rsidRPr="009C0F30">
        <w:rPr>
          <w:noProof/>
          <w:lang w:val="en-US"/>
        </w:rPr>
        <w:t>8</w:t>
      </w:r>
      <w:r w:rsidR="00E326FE" w:rsidRPr="009C0F30">
        <w:rPr>
          <w:noProof/>
        </w:rPr>
        <w:fldChar w:fldCharType="end"/>
      </w:r>
    </w:p>
    <w:p w:rsidR="00BA38DF" w:rsidRPr="009C0F30" w:rsidRDefault="00BA38DF">
      <w:pPr>
        <w:pStyle w:val="2"/>
        <w:tabs>
          <w:tab w:val="right" w:leader="dot" w:pos="9627"/>
        </w:tabs>
        <w:rPr>
          <w:rFonts w:asciiTheme="minorHAnsi" w:eastAsiaTheme="minorEastAsia" w:hAnsiTheme="minorHAnsi" w:cstheme="minorBidi"/>
          <w:noProof/>
          <w:kern w:val="0"/>
          <w:sz w:val="22"/>
          <w:szCs w:val="22"/>
          <w:lang w:val="en-US"/>
        </w:rPr>
      </w:pPr>
      <w:r w:rsidRPr="009C0F30">
        <w:rPr>
          <w:noProof/>
          <w:lang w:val="en-US"/>
        </w:rPr>
        <w:t>3.6. Results of the analysis and their interpretation</w:t>
      </w:r>
      <w:r w:rsidRPr="009C0F30">
        <w:rPr>
          <w:noProof/>
          <w:lang w:val="en-US"/>
        </w:rPr>
        <w:tab/>
      </w:r>
      <w:r w:rsidR="00E326FE" w:rsidRPr="009C0F30">
        <w:rPr>
          <w:noProof/>
        </w:rPr>
        <w:fldChar w:fldCharType="begin"/>
      </w:r>
      <w:r w:rsidRPr="009C0F30">
        <w:rPr>
          <w:noProof/>
          <w:lang w:val="en-US"/>
        </w:rPr>
        <w:instrText xml:space="preserve"> PAGEREF _Toc388197852 \h </w:instrText>
      </w:r>
      <w:r w:rsidR="00E326FE" w:rsidRPr="009C0F30">
        <w:rPr>
          <w:noProof/>
        </w:rPr>
      </w:r>
      <w:r w:rsidR="00E326FE" w:rsidRPr="009C0F30">
        <w:rPr>
          <w:noProof/>
        </w:rPr>
        <w:fldChar w:fldCharType="separate"/>
      </w:r>
      <w:r w:rsidR="009C0F30" w:rsidRPr="009C0F30">
        <w:rPr>
          <w:noProof/>
          <w:lang w:val="en-US"/>
        </w:rPr>
        <w:t>12</w:t>
      </w:r>
      <w:r w:rsidR="00E326FE" w:rsidRPr="009C0F30">
        <w:rPr>
          <w:noProof/>
        </w:rPr>
        <w:fldChar w:fldCharType="end"/>
      </w:r>
    </w:p>
    <w:p w:rsidR="00BA38DF" w:rsidRPr="009C0F30" w:rsidRDefault="00BA38DF">
      <w:pPr>
        <w:pStyle w:val="2"/>
        <w:tabs>
          <w:tab w:val="right" w:leader="dot" w:pos="9627"/>
        </w:tabs>
        <w:rPr>
          <w:rFonts w:asciiTheme="minorHAnsi" w:eastAsiaTheme="minorEastAsia" w:hAnsiTheme="minorHAnsi" w:cstheme="minorBidi"/>
          <w:noProof/>
          <w:kern w:val="0"/>
          <w:sz w:val="22"/>
          <w:szCs w:val="22"/>
          <w:lang w:val="en-US"/>
        </w:rPr>
      </w:pPr>
      <w:r w:rsidRPr="009C0F30">
        <w:rPr>
          <w:noProof/>
          <w:lang w:val="en-US"/>
        </w:rPr>
        <w:t>3.7. Options page</w:t>
      </w:r>
      <w:r w:rsidRPr="009C0F30">
        <w:rPr>
          <w:noProof/>
          <w:lang w:val="en-US"/>
        </w:rPr>
        <w:tab/>
      </w:r>
      <w:r w:rsidR="00E326FE" w:rsidRPr="009C0F30">
        <w:rPr>
          <w:noProof/>
        </w:rPr>
        <w:fldChar w:fldCharType="begin"/>
      </w:r>
      <w:r w:rsidRPr="009C0F30">
        <w:rPr>
          <w:noProof/>
          <w:lang w:val="en-US"/>
        </w:rPr>
        <w:instrText xml:space="preserve"> PAGEREF _Toc388197853 \h </w:instrText>
      </w:r>
      <w:r w:rsidR="00E326FE" w:rsidRPr="009C0F30">
        <w:rPr>
          <w:noProof/>
        </w:rPr>
      </w:r>
      <w:r w:rsidR="00E326FE" w:rsidRPr="009C0F30">
        <w:rPr>
          <w:noProof/>
        </w:rPr>
        <w:fldChar w:fldCharType="separate"/>
      </w:r>
      <w:r w:rsidR="009C0F30" w:rsidRPr="009C0F30">
        <w:rPr>
          <w:noProof/>
          <w:lang w:val="en-US"/>
        </w:rPr>
        <w:t>14</w:t>
      </w:r>
      <w:r w:rsidR="00E326FE" w:rsidRPr="009C0F30">
        <w:rPr>
          <w:noProof/>
        </w:rPr>
        <w:fldChar w:fldCharType="end"/>
      </w:r>
    </w:p>
    <w:p w:rsidR="00BA38DF" w:rsidRPr="009C0F30" w:rsidRDefault="00BA38DF">
      <w:pPr>
        <w:pStyle w:val="2"/>
        <w:tabs>
          <w:tab w:val="right" w:leader="dot" w:pos="9627"/>
        </w:tabs>
        <w:rPr>
          <w:rFonts w:asciiTheme="minorHAnsi" w:eastAsiaTheme="minorEastAsia" w:hAnsiTheme="minorHAnsi" w:cstheme="minorBidi"/>
          <w:noProof/>
          <w:kern w:val="0"/>
          <w:sz w:val="22"/>
          <w:szCs w:val="22"/>
          <w:lang w:val="en-US"/>
        </w:rPr>
      </w:pPr>
      <w:r w:rsidRPr="009C0F30">
        <w:rPr>
          <w:noProof/>
          <w:lang w:val="en-US"/>
        </w:rPr>
        <w:t>3.8. Printing the analysis report</w:t>
      </w:r>
      <w:r w:rsidRPr="009C0F30">
        <w:rPr>
          <w:noProof/>
          <w:lang w:val="en-US"/>
        </w:rPr>
        <w:tab/>
      </w:r>
      <w:r w:rsidR="00E326FE" w:rsidRPr="009C0F30">
        <w:rPr>
          <w:noProof/>
        </w:rPr>
        <w:fldChar w:fldCharType="begin"/>
      </w:r>
      <w:r w:rsidRPr="009C0F30">
        <w:rPr>
          <w:noProof/>
          <w:lang w:val="en-US"/>
        </w:rPr>
        <w:instrText xml:space="preserve"> PAGEREF _Toc388197854 \h </w:instrText>
      </w:r>
      <w:r w:rsidR="00E326FE" w:rsidRPr="009C0F30">
        <w:rPr>
          <w:noProof/>
        </w:rPr>
      </w:r>
      <w:r w:rsidR="00E326FE" w:rsidRPr="009C0F30">
        <w:rPr>
          <w:noProof/>
        </w:rPr>
        <w:fldChar w:fldCharType="separate"/>
      </w:r>
      <w:r w:rsidR="009C0F30" w:rsidRPr="009C0F30">
        <w:rPr>
          <w:noProof/>
          <w:lang w:val="en-US"/>
        </w:rPr>
        <w:t>14</w:t>
      </w:r>
      <w:r w:rsidR="00E326FE" w:rsidRPr="009C0F30">
        <w:rPr>
          <w:noProof/>
        </w:rPr>
        <w:fldChar w:fldCharType="end"/>
      </w:r>
    </w:p>
    <w:p w:rsidR="00BA38DF" w:rsidRPr="009C0F30" w:rsidRDefault="00BA38DF">
      <w:pPr>
        <w:pStyle w:val="11"/>
        <w:tabs>
          <w:tab w:val="right" w:leader="dot" w:pos="9627"/>
        </w:tabs>
        <w:rPr>
          <w:rFonts w:asciiTheme="minorHAnsi" w:eastAsiaTheme="minorEastAsia" w:hAnsiTheme="minorHAnsi" w:cstheme="minorBidi"/>
          <w:noProof/>
          <w:kern w:val="0"/>
          <w:sz w:val="22"/>
          <w:szCs w:val="22"/>
          <w:lang w:val="en-US"/>
        </w:rPr>
      </w:pPr>
      <w:r w:rsidRPr="009C0F30">
        <w:rPr>
          <w:noProof/>
          <w:lang w:val="en-US"/>
        </w:rPr>
        <w:t>4. References</w:t>
      </w:r>
      <w:r w:rsidRPr="009C0F30">
        <w:rPr>
          <w:noProof/>
          <w:lang w:val="en-US"/>
        </w:rPr>
        <w:tab/>
      </w:r>
      <w:r w:rsidR="00E326FE" w:rsidRPr="009C0F30">
        <w:rPr>
          <w:noProof/>
        </w:rPr>
        <w:fldChar w:fldCharType="begin"/>
      </w:r>
      <w:r w:rsidRPr="009C0F30">
        <w:rPr>
          <w:noProof/>
          <w:lang w:val="en-US"/>
        </w:rPr>
        <w:instrText xml:space="preserve"> PAGEREF _Toc388197855 \h </w:instrText>
      </w:r>
      <w:r w:rsidR="00E326FE" w:rsidRPr="009C0F30">
        <w:rPr>
          <w:noProof/>
        </w:rPr>
      </w:r>
      <w:r w:rsidR="00E326FE" w:rsidRPr="009C0F30">
        <w:rPr>
          <w:noProof/>
        </w:rPr>
        <w:fldChar w:fldCharType="separate"/>
      </w:r>
      <w:r w:rsidR="009C0F30" w:rsidRPr="009C0F30">
        <w:rPr>
          <w:noProof/>
          <w:lang w:val="en-US"/>
        </w:rPr>
        <w:t>16</w:t>
      </w:r>
      <w:r w:rsidR="00E326FE" w:rsidRPr="009C0F30">
        <w:rPr>
          <w:noProof/>
        </w:rPr>
        <w:fldChar w:fldCharType="end"/>
      </w:r>
    </w:p>
    <w:p w:rsidR="008B643A" w:rsidRPr="000A4C03" w:rsidRDefault="00E326FE">
      <w:pPr>
        <w:pStyle w:val="Contents1"/>
        <w:spacing w:before="113"/>
        <w:rPr>
          <w:lang w:val="en-US"/>
        </w:rPr>
      </w:pPr>
      <w:r w:rsidRPr="009C0F30">
        <w:fldChar w:fldCharType="end"/>
      </w:r>
    </w:p>
    <w:p w:rsidR="008B643A" w:rsidRDefault="008B643A">
      <w:pPr>
        <w:pStyle w:val="Textbody"/>
        <w:spacing w:after="0"/>
        <w:rPr>
          <w:lang w:val="en-US"/>
        </w:rPr>
      </w:pPr>
      <w:bookmarkStart w:id="0" w:name="_GoBack"/>
      <w:bookmarkEnd w:id="0"/>
    </w:p>
    <w:p w:rsidR="008B643A" w:rsidRPr="000A4C03" w:rsidRDefault="00204C39">
      <w:pPr>
        <w:pStyle w:val="Heading11"/>
        <w:pageBreakBefore/>
        <w:rPr>
          <w:rFonts w:ascii="Times New Roman" w:hAnsi="Times New Roman"/>
          <w:color w:val="000080"/>
          <w:lang w:val="en-US"/>
        </w:rPr>
      </w:pPr>
      <w:bookmarkStart w:id="1" w:name="_Toc388197845"/>
      <w:r w:rsidRPr="000A4C03">
        <w:rPr>
          <w:rFonts w:ascii="Times New Roman" w:hAnsi="Times New Roman"/>
          <w:color w:val="000080"/>
          <w:lang w:val="en-US"/>
        </w:rPr>
        <w:lastRenderedPageBreak/>
        <w:t>1. Introduction and the purpose of this software</w:t>
      </w:r>
      <w:bookmarkEnd w:id="1"/>
    </w:p>
    <w:p w:rsidR="008B643A" w:rsidRDefault="008B643A">
      <w:pPr>
        <w:pStyle w:val="Textbody"/>
        <w:spacing w:after="0"/>
        <w:rPr>
          <w:b/>
          <w:bCs/>
          <w:lang w:val="en-US"/>
        </w:rPr>
      </w:pPr>
    </w:p>
    <w:p w:rsidR="008B643A" w:rsidRPr="007331D8" w:rsidRDefault="00204C39">
      <w:pPr>
        <w:pStyle w:val="Textbody"/>
        <w:spacing w:after="0"/>
        <w:jc w:val="both"/>
        <w:rPr>
          <w:rFonts w:cs="Times New Roman"/>
          <w:lang w:val="en-US"/>
        </w:rPr>
      </w:pPr>
      <w:r>
        <w:rPr>
          <w:b/>
          <w:bCs/>
          <w:lang w:val="en-US"/>
        </w:rPr>
        <w:tab/>
      </w:r>
      <w:r>
        <w:rPr>
          <w:lang w:val="en-US"/>
        </w:rPr>
        <w:t xml:space="preserve">High-throughput </w:t>
      </w:r>
      <w:r>
        <w:rPr>
          <w:i/>
          <w:iCs/>
          <w:lang w:val="en-US"/>
        </w:rPr>
        <w:t>in vitro</w:t>
      </w:r>
      <w:r>
        <w:rPr>
          <w:lang w:val="en-US"/>
        </w:rPr>
        <w:t xml:space="preserve"> screening of natural and synthetic compounds is </w:t>
      </w:r>
      <w:r w:rsidR="001C30D5">
        <w:rPr>
          <w:lang w:val="en-US"/>
        </w:rPr>
        <w:t xml:space="preserve">an </w:t>
      </w:r>
      <w:r>
        <w:rPr>
          <w:lang w:val="en-US"/>
        </w:rPr>
        <w:t xml:space="preserve">important primary stage in the selection of new anticancer drugs throughout the world. This approach was developed in the late 1980's and evolved from earlier screening programs based on the </w:t>
      </w:r>
      <w:r>
        <w:rPr>
          <w:i/>
          <w:iCs/>
          <w:lang w:val="en-US"/>
        </w:rPr>
        <w:t>in vivo</w:t>
      </w:r>
      <w:r>
        <w:rPr>
          <w:lang w:val="en-US"/>
        </w:rPr>
        <w:t xml:space="preserve"> mouse leukemia models. The first large scale </w:t>
      </w:r>
      <w:r>
        <w:rPr>
          <w:i/>
          <w:iCs/>
          <w:lang w:val="en-US"/>
        </w:rPr>
        <w:t>in vitro</w:t>
      </w:r>
      <w:r>
        <w:rPr>
          <w:lang w:val="en-US"/>
        </w:rPr>
        <w:t xml:space="preserve"> screening program was launched by the U.S. National Cancer Institute (NCI) in 1990 (</w:t>
      </w:r>
      <w:hyperlink r:id="rId8" w:history="1">
        <w:r>
          <w:rPr>
            <w:color w:val="0000FF"/>
            <w:lang w:val="en-US"/>
          </w:rPr>
          <w:t>http://www.dtp.nci.nih.gov</w:t>
        </w:r>
      </w:hyperlink>
      <w:r>
        <w:rPr>
          <w:lang w:val="en-US"/>
        </w:rPr>
        <w:t>). They selected sixty human cancer cell lines representing nine types of tumors as the test panel (NCI60 cancer cell line panel)</w:t>
      </w:r>
      <w:r>
        <w:rPr>
          <w:rStyle w:val="bibuscitbase"/>
          <w:lang w:val="en-US"/>
        </w:rPr>
        <w:t>1</w:t>
      </w:r>
      <w:r>
        <w:rPr>
          <w:lang w:val="en-US"/>
        </w:rPr>
        <w:t xml:space="preserve">. Despite some criticism, the validity of such an approach was demonstrated by almost two decades of extensive usage. Nowadays, this approach has also been adopted in a number of laboratories </w:t>
      </w:r>
      <w:r w:rsidRPr="007331D8">
        <w:rPr>
          <w:rFonts w:cs="Times New Roman"/>
          <w:lang w:val="en-US"/>
        </w:rPr>
        <w:t xml:space="preserve">working in the area of anticancer drug discovery.   </w:t>
      </w:r>
    </w:p>
    <w:p w:rsidR="008B643A" w:rsidRPr="000A4C03" w:rsidRDefault="00204C39">
      <w:pPr>
        <w:pStyle w:val="Textbody"/>
        <w:spacing w:after="0"/>
        <w:jc w:val="both"/>
        <w:rPr>
          <w:color w:val="FF0000"/>
          <w:lang w:val="en-US"/>
        </w:rPr>
      </w:pPr>
      <w:r w:rsidRPr="007331D8">
        <w:rPr>
          <w:rFonts w:cs="Times New Roman"/>
          <w:lang w:val="en-US"/>
        </w:rPr>
        <w:tab/>
      </w:r>
      <w:r w:rsidR="007331D8" w:rsidRPr="007331D8">
        <w:rPr>
          <w:rFonts w:cs="Times New Roman"/>
          <w:lang w:val="en-GB"/>
        </w:rPr>
        <w:t xml:space="preserve">The results of </w:t>
      </w:r>
      <w:r w:rsidR="007331D8" w:rsidRPr="007331D8">
        <w:rPr>
          <w:rFonts w:cs="Times New Roman"/>
          <w:i/>
          <w:lang w:val="en-GB"/>
        </w:rPr>
        <w:t>in vitro</w:t>
      </w:r>
      <w:r w:rsidR="007331D8" w:rsidRPr="007331D8">
        <w:rPr>
          <w:rFonts w:cs="Times New Roman"/>
          <w:lang w:val="en-GB"/>
        </w:rPr>
        <w:t xml:space="preserve"> screening tests are often presented as an inhibitory concentration 50% (IC</w:t>
      </w:r>
      <w:r w:rsidR="007331D8" w:rsidRPr="007331D8">
        <w:rPr>
          <w:rFonts w:cs="Times New Roman"/>
          <w:vertAlign w:val="subscript"/>
          <w:lang w:val="en-GB"/>
        </w:rPr>
        <w:t>50</w:t>
      </w:r>
      <w:r w:rsidR="007331D8" w:rsidRPr="007331D8">
        <w:rPr>
          <w:rFonts w:cs="Times New Roman"/>
          <w:lang w:val="en-GB"/>
        </w:rPr>
        <w:t>): the concentration of the tested agent that inhibits the proliferation of the cancer cell population to 50% of the theoretically possible effect (absolute IC</w:t>
      </w:r>
      <w:r w:rsidR="007331D8" w:rsidRPr="007331D8">
        <w:rPr>
          <w:rFonts w:cs="Times New Roman"/>
          <w:vertAlign w:val="subscript"/>
          <w:lang w:val="en-GB"/>
        </w:rPr>
        <w:t>50</w:t>
      </w:r>
      <w:r w:rsidR="007331D8" w:rsidRPr="007331D8">
        <w:rPr>
          <w:rFonts w:cs="Times New Roman"/>
          <w:lang w:val="en-GB"/>
        </w:rPr>
        <w:t>) or maximum effect practically achieved by the drug (relative IC</w:t>
      </w:r>
      <w:r w:rsidR="007331D8" w:rsidRPr="007331D8">
        <w:rPr>
          <w:rFonts w:cs="Times New Roman"/>
          <w:vertAlign w:val="subscript"/>
          <w:lang w:val="en-GB"/>
        </w:rPr>
        <w:t>50</w:t>
      </w:r>
      <w:r w:rsidR="007331D8" w:rsidRPr="007331D8">
        <w:rPr>
          <w:rFonts w:cs="Times New Roman"/>
          <w:lang w:val="en-GB"/>
        </w:rPr>
        <w:t>).</w:t>
      </w:r>
      <w:r w:rsidR="007331D8" w:rsidRPr="007331D8">
        <w:rPr>
          <w:rFonts w:cs="Times New Roman"/>
          <w:lang w:val="en-US"/>
        </w:rPr>
        <w:t xml:space="preserve"> The detailed description between the two types of </w:t>
      </w:r>
      <w:r w:rsidR="007331D8" w:rsidRPr="007331D8">
        <w:rPr>
          <w:rFonts w:cs="Times New Roman"/>
          <w:lang w:val="en-GB"/>
        </w:rPr>
        <w:t>IC</w:t>
      </w:r>
      <w:r w:rsidR="007331D8" w:rsidRPr="007331D8">
        <w:rPr>
          <w:rFonts w:cs="Times New Roman"/>
          <w:vertAlign w:val="subscript"/>
          <w:lang w:val="en-GB"/>
        </w:rPr>
        <w:t>50</w:t>
      </w:r>
      <w:r w:rsidR="007331D8" w:rsidRPr="007331D8">
        <w:rPr>
          <w:rFonts w:cs="Times New Roman"/>
          <w:lang w:val="en-US"/>
        </w:rPr>
        <w:t xml:space="preserve"> values is provided below.</w:t>
      </w:r>
      <w:r w:rsidRPr="007331D8">
        <w:rPr>
          <w:rFonts w:cs="Times New Roman"/>
          <w:lang w:val="en-US"/>
        </w:rPr>
        <w:t xml:space="preserve"> The amount of data obtained during a screening program requires extensive processing and calculation. Therefore, the </w:t>
      </w:r>
      <w:proofErr w:type="spellStart"/>
      <w:r w:rsidRPr="007331D8">
        <w:rPr>
          <w:rFonts w:cs="Times New Roman"/>
          <w:lang w:val="en-US"/>
        </w:rPr>
        <w:t>Cheburator</w:t>
      </w:r>
      <w:proofErr w:type="spellEnd"/>
      <w:r w:rsidRPr="007331D8">
        <w:rPr>
          <w:rFonts w:cs="Times New Roman"/>
          <w:lang w:val="en-US"/>
        </w:rPr>
        <w:t xml:space="preserve"> software was developed for automated data processing and calculation of the </w:t>
      </w:r>
      <w:r w:rsidRPr="007331D8">
        <w:rPr>
          <w:rFonts w:cs="Times New Roman"/>
          <w:lang w:val="en-GB"/>
        </w:rPr>
        <w:t>IC</w:t>
      </w:r>
      <w:r w:rsidRPr="007331D8">
        <w:rPr>
          <w:rFonts w:cs="Times New Roman"/>
          <w:vertAlign w:val="subscript"/>
          <w:lang w:val="en-GB"/>
        </w:rPr>
        <w:t>50</w:t>
      </w:r>
      <w:r w:rsidRPr="007331D8">
        <w:rPr>
          <w:rFonts w:cs="Times New Roman"/>
          <w:lang w:val="en-US"/>
        </w:rPr>
        <w:t xml:space="preserve">. This software could substantially reduce the amount of time spent by scientific staff on data evaluation and could be utilized in numerous laboratories working in the area of the </w:t>
      </w:r>
      <w:r w:rsidRPr="007331D8">
        <w:rPr>
          <w:rFonts w:cs="Times New Roman"/>
          <w:i/>
          <w:iCs/>
          <w:lang w:val="en-US"/>
        </w:rPr>
        <w:t>in vitro</w:t>
      </w:r>
      <w:r w:rsidRPr="007331D8">
        <w:rPr>
          <w:rFonts w:cs="Times New Roman"/>
          <w:lang w:val="en-US"/>
        </w:rPr>
        <w:t xml:space="preserve"> drug screening</w:t>
      </w:r>
      <w:r>
        <w:rPr>
          <w:lang w:val="en-US"/>
        </w:rPr>
        <w:t xml:space="preserve"> programs.</w:t>
      </w:r>
    </w:p>
    <w:p w:rsidR="008B643A" w:rsidRDefault="008B643A">
      <w:pPr>
        <w:pStyle w:val="Textbody"/>
        <w:spacing w:after="0"/>
        <w:jc w:val="both"/>
        <w:rPr>
          <w:b/>
          <w:bCs/>
          <w:color w:val="FF0000"/>
          <w:lang w:val="en-US"/>
        </w:rPr>
      </w:pPr>
    </w:p>
    <w:p w:rsidR="008B643A" w:rsidRPr="000A4C03" w:rsidRDefault="00204C39">
      <w:pPr>
        <w:pStyle w:val="Heading11"/>
        <w:rPr>
          <w:rFonts w:ascii="Times New Roman" w:hAnsi="Times New Roman"/>
          <w:color w:val="000080"/>
          <w:lang w:val="en-US"/>
        </w:rPr>
      </w:pPr>
      <w:bookmarkStart w:id="2" w:name="_Toc388197846"/>
      <w:r w:rsidRPr="000A4C03">
        <w:rPr>
          <w:rFonts w:ascii="Times New Roman" w:hAnsi="Times New Roman"/>
          <w:color w:val="000080"/>
          <w:lang w:val="en-US"/>
        </w:rPr>
        <w:t>2. Implementation and availability</w:t>
      </w:r>
      <w:bookmarkEnd w:id="2"/>
    </w:p>
    <w:p w:rsidR="008B643A" w:rsidRDefault="008B643A">
      <w:pPr>
        <w:pStyle w:val="Tekstpodstawowy3"/>
        <w:autoSpaceDE/>
        <w:rPr>
          <w:sz w:val="28"/>
          <w:szCs w:val="28"/>
          <w:lang w:eastAsia="pl-PL"/>
        </w:rPr>
      </w:pPr>
    </w:p>
    <w:p w:rsidR="008B643A" w:rsidRDefault="00204C39">
      <w:pPr>
        <w:pStyle w:val="Textbody"/>
        <w:spacing w:after="0"/>
        <w:jc w:val="both"/>
        <w:rPr>
          <w:lang w:val="en-US"/>
        </w:rPr>
      </w:pPr>
      <w:r>
        <w:rPr>
          <w:b/>
          <w:bCs/>
          <w:lang w:val="en-US"/>
        </w:rPr>
        <w:tab/>
      </w:r>
      <w:r>
        <w:rPr>
          <w:lang w:val="en-US" w:eastAsia="pl-PL"/>
        </w:rPr>
        <w:t xml:space="preserve">The </w:t>
      </w:r>
      <w:proofErr w:type="spellStart"/>
      <w:r>
        <w:rPr>
          <w:lang w:val="en-US" w:eastAsia="pl-PL"/>
        </w:rPr>
        <w:t>Cheburator</w:t>
      </w:r>
      <w:proofErr w:type="spellEnd"/>
      <w:r>
        <w:rPr>
          <w:lang w:val="en-US" w:eastAsia="pl-PL"/>
        </w:rPr>
        <w:t xml:space="preserve"> software for automated calculation of </w:t>
      </w:r>
      <w:r>
        <w:rPr>
          <w:i/>
          <w:iCs/>
          <w:lang w:val="en-US" w:eastAsia="pl-PL"/>
        </w:rPr>
        <w:t>in vitro</w:t>
      </w:r>
      <w:r>
        <w:rPr>
          <w:lang w:val="en-US" w:eastAsia="pl-PL"/>
        </w:rPr>
        <w:t xml:space="preserve"> inhibitory concentrations was developed using the open-source Lazarus/FPC compiler of the Object Pascal programming </w:t>
      </w:r>
      <w:r w:rsidRPr="003F4719">
        <w:rPr>
          <w:rFonts w:cs="Times New Roman"/>
          <w:lang w:val="en-US" w:eastAsia="pl-PL"/>
        </w:rPr>
        <w:t>language (</w:t>
      </w:r>
      <w:hyperlink r:id="rId9" w:history="1">
        <w:r w:rsidRPr="003F4719">
          <w:rPr>
            <w:rFonts w:cs="Times New Roman"/>
            <w:color w:val="0000FF"/>
            <w:lang w:val="en-US" w:eastAsia="pl-PL"/>
          </w:rPr>
          <w:t>http://www.lazarus.freepascal.org</w:t>
        </w:r>
      </w:hyperlink>
      <w:r w:rsidRPr="003F4719">
        <w:rPr>
          <w:rFonts w:cs="Times New Roman"/>
          <w:lang w:val="en-US" w:eastAsia="pl-PL"/>
        </w:rPr>
        <w:t>)</w:t>
      </w:r>
      <w:r w:rsidR="003F4719" w:rsidRPr="003F4719">
        <w:rPr>
          <w:rFonts w:cs="Times New Roman"/>
          <w:lang w:val="en-US" w:eastAsia="pl-PL"/>
        </w:rPr>
        <w:t xml:space="preserve"> and </w:t>
      </w:r>
      <w:proofErr w:type="spellStart"/>
      <w:r w:rsidR="003F4719" w:rsidRPr="003F4719">
        <w:rPr>
          <w:rFonts w:cs="Times New Roman"/>
          <w:lang w:val="en-US" w:eastAsia="pl-PL"/>
        </w:rPr>
        <w:t>DMath</w:t>
      </w:r>
      <w:proofErr w:type="spellEnd"/>
      <w:r w:rsidR="003F4719" w:rsidRPr="003F4719">
        <w:rPr>
          <w:rFonts w:cs="Times New Roman"/>
          <w:lang w:val="en-US" w:eastAsia="pl-PL"/>
        </w:rPr>
        <w:t xml:space="preserve"> 0.90 statistical library</w:t>
      </w:r>
      <w:r w:rsidRPr="003F4719">
        <w:rPr>
          <w:rFonts w:cs="Times New Roman"/>
          <w:lang w:val="en-US" w:eastAsia="pl-PL"/>
        </w:rPr>
        <w:t>. The currently stable version has a user-friendly interface and runs under the Microsoft Windows family of operating systems. The software is standalone</w:t>
      </w:r>
      <w:r w:rsidR="001C30D5" w:rsidRPr="003F4719">
        <w:rPr>
          <w:rFonts w:cs="Times New Roman"/>
          <w:lang w:val="en-US" w:eastAsia="pl-PL"/>
        </w:rPr>
        <w:t xml:space="preserve"> and</w:t>
      </w:r>
      <w:r w:rsidRPr="003F4719">
        <w:rPr>
          <w:rFonts w:cs="Times New Roman"/>
          <w:lang w:val="en-US" w:eastAsia="pl-PL"/>
        </w:rPr>
        <w:t xml:space="preserve"> does not require installation or any additional</w:t>
      </w:r>
      <w:r w:rsidR="003F4719" w:rsidRPr="003F4719">
        <w:rPr>
          <w:rFonts w:cs="Times New Roman"/>
          <w:lang w:val="en-US" w:eastAsia="pl-PL"/>
        </w:rPr>
        <w:t xml:space="preserve"> run-time</w:t>
      </w:r>
      <w:r>
        <w:rPr>
          <w:lang w:val="en-US" w:eastAsia="pl-PL"/>
        </w:rPr>
        <w:t xml:space="preserve"> third-party libraries. The latest version of the software</w:t>
      </w:r>
      <w:r w:rsidR="001C30D5">
        <w:rPr>
          <w:lang w:val="en-US" w:eastAsia="pl-PL"/>
        </w:rPr>
        <w:t>,</w:t>
      </w:r>
      <w:r>
        <w:rPr>
          <w:lang w:val="en-US" w:eastAsia="pl-PL"/>
        </w:rPr>
        <w:t xml:space="preserve"> together with sample data files and documentation</w:t>
      </w:r>
      <w:r w:rsidR="001C30D5">
        <w:rPr>
          <w:lang w:val="en-US" w:eastAsia="pl-PL"/>
        </w:rPr>
        <w:t>,</w:t>
      </w:r>
      <w:r>
        <w:rPr>
          <w:lang w:val="en-US" w:eastAsia="pl-PL"/>
        </w:rPr>
        <w:t xml:space="preserve"> can be downloaded from the following URL:</w:t>
      </w:r>
    </w:p>
    <w:p w:rsidR="008B643A" w:rsidRDefault="00204C39">
      <w:pPr>
        <w:pStyle w:val="Textbody"/>
        <w:spacing w:after="0"/>
        <w:jc w:val="both"/>
        <w:rPr>
          <w:lang w:val="en-US" w:eastAsia="pl-PL"/>
        </w:rPr>
      </w:pPr>
      <w:r>
        <w:rPr>
          <w:lang w:val="en-US" w:eastAsia="pl-PL"/>
        </w:rPr>
        <w:tab/>
      </w:r>
    </w:p>
    <w:p w:rsidR="008B643A" w:rsidRDefault="00204C39">
      <w:pPr>
        <w:pStyle w:val="Textbody"/>
        <w:spacing w:after="0"/>
        <w:jc w:val="both"/>
        <w:rPr>
          <w:b/>
          <w:bCs/>
          <w:lang w:val="en-US" w:eastAsia="pl-PL"/>
        </w:rPr>
      </w:pPr>
      <w:r>
        <w:rPr>
          <w:lang w:val="en-US" w:eastAsia="pl-PL"/>
        </w:rPr>
        <w:tab/>
      </w:r>
      <w:hyperlink r:id="rId10" w:history="1">
        <w:r>
          <w:rPr>
            <w:color w:val="0000FF"/>
            <w:lang w:val="en-US" w:eastAsia="pl-PL"/>
          </w:rPr>
          <w:t>http://www.cheburator.nevozhay.com</w:t>
        </w:r>
      </w:hyperlink>
    </w:p>
    <w:p w:rsidR="008B643A" w:rsidRDefault="008B643A">
      <w:pPr>
        <w:pStyle w:val="Textbody"/>
        <w:spacing w:after="0"/>
        <w:jc w:val="both"/>
        <w:rPr>
          <w:lang w:val="en-US" w:eastAsia="pl-PL"/>
        </w:rPr>
      </w:pPr>
    </w:p>
    <w:p w:rsidR="008B643A" w:rsidRDefault="00204C39">
      <w:pPr>
        <w:pStyle w:val="Textbody"/>
        <w:spacing w:after="0"/>
        <w:jc w:val="both"/>
        <w:rPr>
          <w:lang w:val="en-US" w:eastAsia="pl-PL"/>
        </w:rPr>
      </w:pPr>
      <w:r>
        <w:rPr>
          <w:lang w:val="en-US" w:eastAsia="pl-PL"/>
        </w:rPr>
        <w:tab/>
        <w:t>The software is freely available for academic use, but a license</w:t>
      </w:r>
      <w:r w:rsidR="001C30D5">
        <w:rPr>
          <w:lang w:val="en-US" w:eastAsia="pl-PL"/>
        </w:rPr>
        <w:t xml:space="preserve"> is</w:t>
      </w:r>
      <w:r>
        <w:rPr>
          <w:lang w:val="en-US" w:eastAsia="pl-PL"/>
        </w:rPr>
        <w:t xml:space="preserve"> required for commercial use. Please send all inquiries or suggestions concerning this software to the author:</w:t>
      </w:r>
    </w:p>
    <w:p w:rsidR="008B643A" w:rsidRDefault="008B643A">
      <w:pPr>
        <w:pStyle w:val="Textbody"/>
        <w:spacing w:after="0"/>
        <w:jc w:val="both"/>
        <w:rPr>
          <w:b/>
          <w:bCs/>
          <w:lang w:val="en-US" w:eastAsia="pl-PL"/>
        </w:rPr>
      </w:pPr>
    </w:p>
    <w:p w:rsidR="008B643A" w:rsidRDefault="00204C39">
      <w:pPr>
        <w:pStyle w:val="Textbody"/>
        <w:spacing w:after="0"/>
        <w:jc w:val="both"/>
        <w:rPr>
          <w:b/>
          <w:bCs/>
          <w:lang w:val="en-US" w:eastAsia="pl-PL"/>
        </w:rPr>
      </w:pPr>
      <w:r>
        <w:rPr>
          <w:b/>
          <w:bCs/>
          <w:lang w:val="en-US" w:eastAsia="pl-PL"/>
        </w:rPr>
        <w:tab/>
        <w:t xml:space="preserve">Dmitry Nevozhay </w:t>
      </w:r>
      <w:r w:rsidR="000A4C03">
        <w:rPr>
          <w:b/>
          <w:bCs/>
          <w:lang w:val="en-US" w:eastAsia="pl-PL"/>
        </w:rPr>
        <w:t xml:space="preserve">M.D., </w:t>
      </w:r>
      <w:r>
        <w:rPr>
          <w:b/>
          <w:bCs/>
          <w:lang w:val="en-US" w:eastAsia="pl-PL"/>
        </w:rPr>
        <w:t>Ph.D.,</w:t>
      </w:r>
    </w:p>
    <w:p w:rsidR="008B643A" w:rsidRDefault="008B643A">
      <w:pPr>
        <w:pStyle w:val="Standard"/>
        <w:autoSpaceDE w:val="0"/>
        <w:ind w:left="1150"/>
        <w:jc w:val="both"/>
        <w:textAlignment w:val="auto"/>
        <w:rPr>
          <w:rFonts w:eastAsia="Times New Roman CE" w:cs="Times New Roman CE"/>
          <w:b/>
          <w:bCs/>
          <w:lang w:val="en-US" w:eastAsia="pl-PL"/>
        </w:rPr>
      </w:pPr>
    </w:p>
    <w:p w:rsidR="008B643A" w:rsidRDefault="00204C39">
      <w:pPr>
        <w:pStyle w:val="Standard"/>
        <w:autoSpaceDE w:val="0"/>
        <w:jc w:val="both"/>
        <w:textAlignment w:val="auto"/>
        <w:rPr>
          <w:rFonts w:eastAsia="Times New Roman CE" w:cs="Times New Roman CE"/>
          <w:lang w:val="en-US" w:eastAsia="pl-PL"/>
        </w:rPr>
      </w:pPr>
      <w:r>
        <w:rPr>
          <w:rFonts w:eastAsia="Times New Roman CE" w:cs="Times New Roman CE"/>
          <w:b/>
          <w:bCs/>
          <w:lang w:val="en-US" w:eastAsia="pl-PL"/>
        </w:rPr>
        <w:tab/>
        <w:t xml:space="preserve">E-mail: </w:t>
      </w:r>
      <w:hyperlink r:id="rId11" w:history="1">
        <w:r w:rsidR="000A4C03">
          <w:rPr>
            <w:rFonts w:eastAsia="Times New Roman CE" w:cs="Times New Roman CE"/>
            <w:color w:val="0000FF"/>
            <w:lang w:val="en-US" w:eastAsia="pl-PL"/>
          </w:rPr>
          <w:t>dnevozhay</w:t>
        </w:r>
        <w:r>
          <w:rPr>
            <w:rFonts w:eastAsia="Times New Roman CE" w:cs="Times New Roman CE"/>
            <w:color w:val="0000FF"/>
            <w:lang w:val="en-US" w:eastAsia="pl-PL"/>
          </w:rPr>
          <w:t>@</w:t>
        </w:r>
        <w:r w:rsidR="000A4C03">
          <w:rPr>
            <w:rFonts w:eastAsia="Times New Roman CE" w:cs="Times New Roman CE"/>
            <w:color w:val="0000FF"/>
            <w:lang w:val="en-US" w:eastAsia="pl-PL"/>
          </w:rPr>
          <w:t>gmail.com</w:t>
        </w:r>
      </w:hyperlink>
      <w:r w:rsidR="000A4C03">
        <w:rPr>
          <w:rFonts w:eastAsia="Times New Roman CE" w:cs="Times New Roman CE"/>
          <w:lang w:val="en-US" w:eastAsia="pl-PL"/>
        </w:rPr>
        <w:t xml:space="preserve"> </w:t>
      </w:r>
    </w:p>
    <w:p w:rsidR="008B643A" w:rsidRPr="000A4C03" w:rsidRDefault="008B643A">
      <w:pPr>
        <w:pStyle w:val="Standard"/>
        <w:autoSpaceDE w:val="0"/>
        <w:jc w:val="both"/>
        <w:textAlignment w:val="auto"/>
        <w:rPr>
          <w:color w:val="000080"/>
          <w:sz w:val="28"/>
          <w:szCs w:val="28"/>
          <w:lang w:val="en-US"/>
        </w:rPr>
      </w:pPr>
    </w:p>
    <w:p w:rsidR="008B643A" w:rsidRPr="000A4C03" w:rsidRDefault="00204C39">
      <w:pPr>
        <w:pStyle w:val="Heading11"/>
        <w:pageBreakBefore/>
        <w:spacing w:before="238" w:after="119"/>
        <w:rPr>
          <w:rFonts w:ascii="Times New Roman" w:hAnsi="Times New Roman"/>
          <w:color w:val="000080"/>
          <w:lang w:val="en-US"/>
        </w:rPr>
      </w:pPr>
      <w:bookmarkStart w:id="3" w:name="_Toc388197847"/>
      <w:r w:rsidRPr="000A4C03">
        <w:rPr>
          <w:rFonts w:ascii="Times New Roman" w:hAnsi="Times New Roman"/>
          <w:color w:val="000080"/>
          <w:lang w:val="en-US"/>
        </w:rPr>
        <w:lastRenderedPageBreak/>
        <w:t>3. Usage description</w:t>
      </w:r>
      <w:bookmarkEnd w:id="3"/>
    </w:p>
    <w:p w:rsidR="008B643A" w:rsidRPr="000A4C03" w:rsidRDefault="00204C39">
      <w:pPr>
        <w:pStyle w:val="Heading21"/>
        <w:rPr>
          <w:rFonts w:ascii="Times New Roman" w:hAnsi="Times New Roman"/>
          <w:color w:val="000080"/>
          <w:sz w:val="24"/>
          <w:szCs w:val="24"/>
          <w:lang w:val="en-US"/>
        </w:rPr>
      </w:pPr>
      <w:bookmarkStart w:id="4" w:name="_Toc388197848"/>
      <w:r w:rsidRPr="000A4C03">
        <w:rPr>
          <w:rFonts w:ascii="Times New Roman" w:hAnsi="Times New Roman"/>
          <w:color w:val="000080"/>
          <w:sz w:val="24"/>
          <w:szCs w:val="24"/>
          <w:lang w:val="en-US"/>
        </w:rPr>
        <w:t xml:space="preserve">3.1. Prerequisites for the tests analyzed by the </w:t>
      </w:r>
      <w:proofErr w:type="spellStart"/>
      <w:r w:rsidRPr="000A4C03">
        <w:rPr>
          <w:rFonts w:ascii="Times New Roman" w:hAnsi="Times New Roman"/>
          <w:color w:val="000080"/>
          <w:sz w:val="24"/>
          <w:szCs w:val="24"/>
          <w:lang w:val="en-US"/>
        </w:rPr>
        <w:t>Cheburator</w:t>
      </w:r>
      <w:bookmarkEnd w:id="4"/>
      <w:proofErr w:type="spellEnd"/>
    </w:p>
    <w:p w:rsidR="008B643A" w:rsidRDefault="008B643A">
      <w:pPr>
        <w:pStyle w:val="Textbody"/>
        <w:spacing w:after="0"/>
        <w:rPr>
          <w:lang w:val="en-US"/>
        </w:rPr>
      </w:pPr>
    </w:p>
    <w:p w:rsidR="008B643A" w:rsidRDefault="00204C39">
      <w:pPr>
        <w:pStyle w:val="Standard"/>
        <w:jc w:val="both"/>
        <w:rPr>
          <w:lang w:val="en-US" w:eastAsia="pl-PL"/>
        </w:rPr>
      </w:pPr>
      <w:r>
        <w:rPr>
          <w:lang w:val="en-US" w:eastAsia="pl-PL"/>
        </w:rPr>
        <w:tab/>
        <w:t xml:space="preserve">To standardize the calculation algorithm, several prerequisites have to be met for </w:t>
      </w:r>
      <w:r>
        <w:rPr>
          <w:i/>
          <w:iCs/>
          <w:lang w:val="en-US" w:eastAsia="pl-PL"/>
        </w:rPr>
        <w:t>in vitro</w:t>
      </w:r>
      <w:r>
        <w:rPr>
          <w:lang w:val="en-US" w:eastAsia="pl-PL"/>
        </w:rPr>
        <w:t xml:space="preserve"> test results to be further processed by </w:t>
      </w:r>
      <w:proofErr w:type="spellStart"/>
      <w:r>
        <w:rPr>
          <w:lang w:val="en-US" w:eastAsia="pl-PL"/>
        </w:rPr>
        <w:t>Cheburator</w:t>
      </w:r>
      <w:proofErr w:type="spellEnd"/>
      <w:r>
        <w:rPr>
          <w:lang w:val="en-US" w:eastAsia="pl-PL"/>
        </w:rPr>
        <w:t xml:space="preserve">. The software was designed to analyze results from the tests performed using 96-well plates. One row on each plate must contain appropriate control values – the first 9 wells of the row containing untreated cells and last 3 wells of </w:t>
      </w:r>
      <w:r w:rsidR="001C30D5">
        <w:rPr>
          <w:lang w:val="en-US" w:eastAsia="pl-PL"/>
        </w:rPr>
        <w:t xml:space="preserve">the </w:t>
      </w:r>
      <w:r>
        <w:rPr>
          <w:lang w:val="en-US" w:eastAsia="pl-PL"/>
        </w:rPr>
        <w:t xml:space="preserve">row have to represent background values for the cell culture medium </w:t>
      </w:r>
      <w:r w:rsidR="001B4E49">
        <w:rPr>
          <w:lang w:val="en-US" w:eastAsia="pl-PL"/>
        </w:rPr>
        <w:t xml:space="preserve">without cells </w:t>
      </w:r>
      <w:r>
        <w:rPr>
          <w:lang w:val="en-US" w:eastAsia="pl-PL"/>
        </w:rPr>
        <w:t xml:space="preserve">added </w:t>
      </w:r>
      <w:r w:rsidR="001B4E49">
        <w:rPr>
          <w:lang w:val="en-US" w:eastAsia="pl-PL"/>
        </w:rPr>
        <w:t>to</w:t>
      </w:r>
      <w:r>
        <w:rPr>
          <w:lang w:val="en-US" w:eastAsia="pl-PL"/>
        </w:rPr>
        <w:t xml:space="preserve"> the plate. The second assumption is that </w:t>
      </w:r>
      <w:r w:rsidR="00C307D7">
        <w:rPr>
          <w:lang w:val="en-US" w:eastAsia="pl-PL"/>
        </w:rPr>
        <w:t xml:space="preserve">the </w:t>
      </w:r>
      <w:r>
        <w:rPr>
          <w:lang w:val="en-US" w:eastAsia="pl-PL"/>
        </w:rPr>
        <w:t xml:space="preserve">other rows on the plate have to represent data for the compounds of interest tested in 4 concentrations placed in the triplicates (4 concentrations x 3 wells = total 12 wells in the each row/compound used in the test). Concentrations have to be arranged from the greatest to the smallest from the left to the right, respectively.  </w:t>
      </w:r>
    </w:p>
    <w:p w:rsidR="008B643A" w:rsidRDefault="008B643A">
      <w:pPr>
        <w:pStyle w:val="Tekstpodstawowy3"/>
        <w:autoSpaceDE/>
      </w:pPr>
    </w:p>
    <w:p w:rsidR="008B643A" w:rsidRDefault="00204C39">
      <w:pPr>
        <w:pStyle w:val="Textbody"/>
        <w:spacing w:after="0"/>
        <w:jc w:val="both"/>
        <w:rPr>
          <w:i/>
          <w:iCs/>
          <w:sz w:val="22"/>
          <w:szCs w:val="22"/>
          <w:lang w:val="en-US"/>
        </w:rPr>
      </w:pPr>
      <w:r>
        <w:rPr>
          <w:b/>
          <w:bCs/>
          <w:i/>
          <w:iCs/>
          <w:sz w:val="22"/>
          <w:szCs w:val="22"/>
          <w:u w:val="single"/>
          <w:lang w:val="en-US"/>
        </w:rPr>
        <w:t>Example:</w:t>
      </w:r>
      <w:r>
        <w:rPr>
          <w:i/>
          <w:iCs/>
          <w:sz w:val="22"/>
          <w:szCs w:val="22"/>
          <w:lang w:val="en-US"/>
        </w:rPr>
        <w:t xml:space="preserve"> Below is the sample plate with one control row (</w:t>
      </w:r>
      <w:r w:rsidR="00C307D7">
        <w:rPr>
          <w:b/>
          <w:bCs/>
          <w:i/>
          <w:iCs/>
          <w:sz w:val="22"/>
          <w:szCs w:val="22"/>
          <w:lang w:val="en-US"/>
        </w:rPr>
        <w:t>H</w:t>
      </w:r>
      <w:r>
        <w:rPr>
          <w:i/>
          <w:iCs/>
          <w:sz w:val="22"/>
          <w:szCs w:val="22"/>
          <w:lang w:val="en-US"/>
        </w:rPr>
        <w:t>), one row for reference drug (</w:t>
      </w:r>
      <w:r>
        <w:rPr>
          <w:b/>
          <w:bCs/>
          <w:i/>
          <w:iCs/>
          <w:sz w:val="22"/>
          <w:szCs w:val="22"/>
          <w:lang w:val="en-US"/>
        </w:rPr>
        <w:t>A</w:t>
      </w:r>
      <w:r>
        <w:rPr>
          <w:i/>
          <w:iCs/>
          <w:sz w:val="22"/>
          <w:szCs w:val="22"/>
          <w:lang w:val="en-US"/>
        </w:rPr>
        <w:t>) and four rows for four novel studied compounds (</w:t>
      </w:r>
      <w:r>
        <w:rPr>
          <w:b/>
          <w:bCs/>
          <w:i/>
          <w:iCs/>
          <w:sz w:val="22"/>
          <w:szCs w:val="22"/>
          <w:lang w:val="en-US"/>
        </w:rPr>
        <w:t>B</w:t>
      </w:r>
      <w:r>
        <w:rPr>
          <w:i/>
          <w:iCs/>
          <w:sz w:val="22"/>
          <w:szCs w:val="22"/>
          <w:lang w:val="en-US"/>
        </w:rPr>
        <w:t xml:space="preserve">, </w:t>
      </w:r>
      <w:r>
        <w:rPr>
          <w:b/>
          <w:bCs/>
          <w:i/>
          <w:iCs/>
          <w:sz w:val="22"/>
          <w:szCs w:val="22"/>
          <w:lang w:val="en-US"/>
        </w:rPr>
        <w:t>C</w:t>
      </w:r>
      <w:r>
        <w:rPr>
          <w:i/>
          <w:iCs/>
          <w:sz w:val="22"/>
          <w:szCs w:val="22"/>
          <w:lang w:val="en-US"/>
        </w:rPr>
        <w:t xml:space="preserve">, </w:t>
      </w:r>
      <w:r>
        <w:rPr>
          <w:b/>
          <w:bCs/>
          <w:i/>
          <w:iCs/>
          <w:sz w:val="22"/>
          <w:szCs w:val="22"/>
          <w:lang w:val="en-US"/>
        </w:rPr>
        <w:t>D</w:t>
      </w:r>
      <w:r>
        <w:rPr>
          <w:i/>
          <w:iCs/>
          <w:sz w:val="22"/>
          <w:szCs w:val="22"/>
          <w:lang w:val="en-US"/>
        </w:rPr>
        <w:t xml:space="preserve">, </w:t>
      </w:r>
      <w:r>
        <w:rPr>
          <w:b/>
          <w:bCs/>
          <w:i/>
          <w:iCs/>
          <w:sz w:val="22"/>
          <w:szCs w:val="22"/>
          <w:lang w:val="en-US"/>
        </w:rPr>
        <w:t>E</w:t>
      </w:r>
      <w:r>
        <w:rPr>
          <w:i/>
          <w:iCs/>
          <w:sz w:val="22"/>
          <w:szCs w:val="22"/>
          <w:lang w:val="en-US"/>
        </w:rPr>
        <w:t>, respectively) tested in four drug concentrations</w:t>
      </w:r>
      <w:r w:rsidR="00A073EE">
        <w:rPr>
          <w:i/>
          <w:iCs/>
          <w:sz w:val="22"/>
          <w:szCs w:val="22"/>
          <w:lang w:val="en-US"/>
        </w:rPr>
        <w:t>.</w:t>
      </w:r>
      <w:r>
        <w:rPr>
          <w:i/>
          <w:iCs/>
          <w:sz w:val="22"/>
          <w:szCs w:val="22"/>
          <w:lang w:val="en-US"/>
        </w:rPr>
        <w:t xml:space="preserve"> Please not</w:t>
      </w:r>
      <w:r w:rsidR="00A073EE">
        <w:rPr>
          <w:i/>
          <w:iCs/>
          <w:sz w:val="22"/>
          <w:szCs w:val="22"/>
          <w:lang w:val="en-US"/>
        </w:rPr>
        <w:t>e:</w:t>
      </w:r>
      <w:r>
        <w:rPr>
          <w:i/>
          <w:iCs/>
          <w:sz w:val="22"/>
          <w:szCs w:val="22"/>
          <w:lang w:val="en-US"/>
        </w:rPr>
        <w:t xml:space="preserve"> you do not have to use all rows on the plate. You can also use different ranges of drug concentrations for different drugs as in this test (100, 10, 1 and 0.1 µM for the reference drug and 10, 1, 0.1 and 0.01 µM for the novel studied compounds, </w:t>
      </w:r>
      <w:r>
        <w:rPr>
          <w:b/>
          <w:bCs/>
          <w:i/>
          <w:iCs/>
          <w:color w:val="000000"/>
          <w:sz w:val="22"/>
          <w:szCs w:val="22"/>
          <w:lang w:val="en-US"/>
        </w:rPr>
        <w:t>Figure 1</w:t>
      </w:r>
      <w:r>
        <w:rPr>
          <w:i/>
          <w:iCs/>
          <w:sz w:val="22"/>
          <w:szCs w:val="22"/>
          <w:lang w:val="en-US"/>
        </w:rPr>
        <w:t>).</w:t>
      </w:r>
    </w:p>
    <w:p w:rsidR="008B643A" w:rsidRDefault="008B643A">
      <w:pPr>
        <w:pStyle w:val="Textbody"/>
        <w:spacing w:after="0"/>
        <w:rPr>
          <w:b/>
          <w:bCs/>
          <w:i/>
          <w:iCs/>
          <w:lang w:val="en-US"/>
        </w:rPr>
      </w:pPr>
    </w:p>
    <w:p w:rsidR="008B643A" w:rsidRDefault="00204C39">
      <w:pPr>
        <w:pStyle w:val="Textbody"/>
        <w:spacing w:after="0"/>
        <w:jc w:val="both"/>
        <w:rPr>
          <w:i/>
          <w:iCs/>
          <w:color w:val="000000"/>
          <w:sz w:val="22"/>
          <w:szCs w:val="22"/>
          <w:lang w:val="en-US"/>
        </w:rPr>
      </w:pPr>
      <w:r>
        <w:rPr>
          <w:i/>
          <w:iCs/>
          <w:noProof/>
          <w:color w:val="000000"/>
          <w:sz w:val="22"/>
          <w:szCs w:val="22"/>
          <w:lang w:val="ru-RU" w:eastAsia="ru-RU"/>
        </w:rPr>
        <w:drawing>
          <wp:anchor distT="0" distB="0" distL="114300" distR="114300" simplePos="0" relativeHeight="2" behindDoc="0" locked="0" layoutInCell="1" allowOverlap="1">
            <wp:simplePos x="0" y="0"/>
            <wp:positionH relativeFrom="column">
              <wp:align>center</wp:align>
            </wp:positionH>
            <wp:positionV relativeFrom="paragraph">
              <wp:align>top</wp:align>
            </wp:positionV>
            <wp:extent cx="6123240" cy="4199760"/>
            <wp:effectExtent l="0" t="0" r="0" b="0"/>
            <wp:wrapTopAndBottom/>
            <wp:docPr id="1" name="graphics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alphaModFix/>
                      <a:lum/>
                    </a:blip>
                    <a:srcRect/>
                    <a:stretch>
                      <a:fillRect/>
                    </a:stretch>
                  </pic:blipFill>
                  <pic:spPr>
                    <a:xfrm>
                      <a:off x="0" y="0"/>
                      <a:ext cx="6123240" cy="4199760"/>
                    </a:xfrm>
                    <a:prstGeom prst="rect">
                      <a:avLst/>
                    </a:prstGeom>
                  </pic:spPr>
                </pic:pic>
              </a:graphicData>
            </a:graphic>
          </wp:anchor>
        </w:drawing>
      </w:r>
      <w:r>
        <w:rPr>
          <w:b/>
          <w:bCs/>
          <w:i/>
          <w:iCs/>
          <w:color w:val="000000"/>
          <w:sz w:val="22"/>
          <w:szCs w:val="22"/>
          <w:lang w:val="en-US"/>
        </w:rPr>
        <w:t>Figure 1.</w:t>
      </w:r>
      <w:r>
        <w:rPr>
          <w:i/>
          <w:iCs/>
          <w:color w:val="000000"/>
          <w:sz w:val="22"/>
          <w:szCs w:val="22"/>
          <w:lang w:val="en-US"/>
        </w:rPr>
        <w:t xml:space="preserve"> Sample plate with four tested compounds and the reference drug. Concentrations are highlighted in red. Control of untreated cells (CC) and control of media (CM) are in blue and green colors, respectively.</w:t>
      </w:r>
    </w:p>
    <w:p w:rsidR="008B643A" w:rsidRDefault="008B643A">
      <w:pPr>
        <w:pStyle w:val="Textbody"/>
        <w:spacing w:after="0"/>
        <w:rPr>
          <w:b/>
          <w:bCs/>
          <w:i/>
          <w:iCs/>
          <w:lang w:val="en-US"/>
        </w:rPr>
      </w:pPr>
    </w:p>
    <w:p w:rsidR="008B643A" w:rsidRDefault="008B643A">
      <w:pPr>
        <w:pStyle w:val="Textbody"/>
        <w:spacing w:after="0"/>
        <w:rPr>
          <w:b/>
          <w:bCs/>
          <w:i/>
          <w:iCs/>
          <w:lang w:val="en-US"/>
        </w:rPr>
      </w:pPr>
    </w:p>
    <w:p w:rsidR="008B643A" w:rsidRPr="000A4C03" w:rsidRDefault="00204C39">
      <w:pPr>
        <w:pStyle w:val="Heading21"/>
        <w:pageBreakBefore/>
        <w:rPr>
          <w:rFonts w:ascii="Times New Roman" w:hAnsi="Times New Roman"/>
          <w:color w:val="000080"/>
          <w:sz w:val="24"/>
          <w:szCs w:val="24"/>
          <w:lang w:val="en-US"/>
        </w:rPr>
      </w:pPr>
      <w:bookmarkStart w:id="5" w:name="_Toc388197849"/>
      <w:r w:rsidRPr="000A4C03">
        <w:rPr>
          <w:rFonts w:ascii="Times New Roman" w:hAnsi="Times New Roman"/>
          <w:color w:val="000080"/>
          <w:sz w:val="24"/>
          <w:szCs w:val="24"/>
          <w:lang w:val="en-US"/>
        </w:rPr>
        <w:lastRenderedPageBreak/>
        <w:t>3.2. Data loading and built-in converter</w:t>
      </w:r>
      <w:bookmarkEnd w:id="5"/>
    </w:p>
    <w:p w:rsidR="008B643A" w:rsidRDefault="008B643A">
      <w:pPr>
        <w:pStyle w:val="Textbody"/>
        <w:spacing w:after="0"/>
        <w:rPr>
          <w:lang w:val="en-US"/>
        </w:rPr>
      </w:pPr>
    </w:p>
    <w:p w:rsidR="008B643A" w:rsidRDefault="00204C39">
      <w:pPr>
        <w:pStyle w:val="Tekstpodstawowy3"/>
        <w:autoSpaceDE/>
        <w:rPr>
          <w:lang w:eastAsia="pl-PL"/>
        </w:rPr>
      </w:pPr>
      <w:r>
        <w:rPr>
          <w:lang w:eastAsia="pl-PL"/>
        </w:rPr>
        <w:tab/>
        <w:t>Initially</w:t>
      </w:r>
      <w:r w:rsidR="00A073EE">
        <w:rPr>
          <w:lang w:eastAsia="pl-PL"/>
        </w:rPr>
        <w:t>,</w:t>
      </w:r>
      <w:r>
        <w:rPr>
          <w:lang w:eastAsia="pl-PL"/>
        </w:rPr>
        <w:t xml:space="preserve"> the software was programmed to read the data files produced by a </w:t>
      </w:r>
      <w:proofErr w:type="spellStart"/>
      <w:r>
        <w:rPr>
          <w:lang w:eastAsia="pl-PL"/>
        </w:rPr>
        <w:t>Multiskan</w:t>
      </w:r>
      <w:proofErr w:type="spellEnd"/>
      <w:r>
        <w:rPr>
          <w:lang w:eastAsia="pl-PL"/>
        </w:rPr>
        <w:t xml:space="preserve"> RC photometer (</w:t>
      </w:r>
      <w:proofErr w:type="spellStart"/>
      <w:r>
        <w:rPr>
          <w:lang w:eastAsia="pl-PL"/>
        </w:rPr>
        <w:t>Labsystems</w:t>
      </w:r>
      <w:proofErr w:type="spellEnd"/>
      <w:r>
        <w:rPr>
          <w:lang w:eastAsia="pl-PL"/>
        </w:rPr>
        <w:t>, Finland) used for acquiring the optical densities from colorimetric assays performed on the 96-well plates. However, to ensure wider use of the software</w:t>
      </w:r>
      <w:r w:rsidR="00A073EE">
        <w:rPr>
          <w:lang w:eastAsia="pl-PL"/>
        </w:rPr>
        <w:t>,</w:t>
      </w:r>
      <w:r>
        <w:rPr>
          <w:lang w:eastAsia="pl-PL"/>
        </w:rPr>
        <w:t xml:space="preserve"> we have added </w:t>
      </w:r>
      <w:r w:rsidR="00A073EE">
        <w:rPr>
          <w:lang w:eastAsia="pl-PL"/>
        </w:rPr>
        <w:t xml:space="preserve">a </w:t>
      </w:r>
      <w:r>
        <w:rPr>
          <w:lang w:eastAsia="pl-PL"/>
        </w:rPr>
        <w:t xml:space="preserve">built-in converter for other data file formats. The software can import data from comma separated files produced by Excel or other spreadsheet programs. The converter is customizable to provide </w:t>
      </w:r>
      <w:r w:rsidR="00A073EE">
        <w:rPr>
          <w:lang w:eastAsia="pl-PL"/>
        </w:rPr>
        <w:t xml:space="preserve">a </w:t>
      </w:r>
      <w:r>
        <w:rPr>
          <w:lang w:eastAsia="pl-PL"/>
        </w:rPr>
        <w:t xml:space="preserve">wide </w:t>
      </w:r>
      <w:r w:rsidR="00A073EE">
        <w:rPr>
          <w:lang w:eastAsia="pl-PL"/>
        </w:rPr>
        <w:t xml:space="preserve">range of </w:t>
      </w:r>
      <w:r>
        <w:rPr>
          <w:lang w:eastAsia="pl-PL"/>
        </w:rPr>
        <w:t xml:space="preserve">possibilities for other format imports, even </w:t>
      </w:r>
      <w:r w:rsidR="00A073EE">
        <w:rPr>
          <w:lang w:eastAsia="pl-PL"/>
        </w:rPr>
        <w:t>for any we are not aware of</w:t>
      </w:r>
      <w:r>
        <w:rPr>
          <w:lang w:eastAsia="pl-PL"/>
        </w:rPr>
        <w:t>.</w:t>
      </w:r>
    </w:p>
    <w:p w:rsidR="008B643A" w:rsidRDefault="00204C39">
      <w:pPr>
        <w:pStyle w:val="Tekstpodstawowy3"/>
        <w:autoSpaceDE/>
      </w:pPr>
      <w:r>
        <w:rPr>
          <w:lang w:eastAsia="pl-PL"/>
        </w:rPr>
        <w:tab/>
      </w:r>
      <w:r w:rsidR="00FB04FC">
        <w:rPr>
          <w:lang w:eastAsia="pl-PL"/>
        </w:rPr>
        <w:t>I</w:t>
      </w:r>
      <w:r>
        <w:rPr>
          <w:lang w:eastAsia="pl-PL"/>
        </w:rPr>
        <w:t xml:space="preserve">n the case </w:t>
      </w:r>
      <w:r w:rsidR="00FB04FC">
        <w:rPr>
          <w:lang w:eastAsia="pl-PL"/>
        </w:rPr>
        <w:t xml:space="preserve">that </w:t>
      </w:r>
      <w:r>
        <w:rPr>
          <w:lang w:eastAsia="pl-PL"/>
        </w:rPr>
        <w:t xml:space="preserve">some data file format might not be directly imported into the </w:t>
      </w:r>
      <w:proofErr w:type="spellStart"/>
      <w:r>
        <w:rPr>
          <w:lang w:eastAsia="pl-PL"/>
        </w:rPr>
        <w:t>Cheburator</w:t>
      </w:r>
      <w:proofErr w:type="spellEnd"/>
      <w:r>
        <w:rPr>
          <w:lang w:eastAsia="pl-PL"/>
        </w:rPr>
        <w:t xml:space="preserve"> using the built-in converter, format examples are included with the installation package in the Samples directory</w:t>
      </w:r>
      <w:r w:rsidR="00FB04FC">
        <w:rPr>
          <w:lang w:eastAsia="pl-PL"/>
        </w:rPr>
        <w:t>,</w:t>
      </w:r>
      <w:r>
        <w:rPr>
          <w:lang w:eastAsia="pl-PL"/>
        </w:rPr>
        <w:t xml:space="preserve"> allowing users to program </w:t>
      </w:r>
      <w:r w:rsidR="00FB04FC">
        <w:rPr>
          <w:lang w:eastAsia="pl-PL"/>
        </w:rPr>
        <w:t xml:space="preserve">their </w:t>
      </w:r>
      <w:r>
        <w:rPr>
          <w:lang w:eastAsia="pl-PL"/>
        </w:rPr>
        <w:t xml:space="preserve">own converters between third-party software and </w:t>
      </w:r>
      <w:proofErr w:type="spellStart"/>
      <w:r>
        <w:rPr>
          <w:lang w:eastAsia="pl-PL"/>
        </w:rPr>
        <w:t>Cheburator</w:t>
      </w:r>
      <w:proofErr w:type="spellEnd"/>
      <w:r>
        <w:rPr>
          <w:lang w:eastAsia="pl-PL"/>
        </w:rPr>
        <w:t>. The software was tested on the results from both SRB</w:t>
      </w:r>
      <w:r>
        <w:rPr>
          <w:rStyle w:val="bibuscitbase"/>
          <w:lang w:eastAsia="pl-PL"/>
        </w:rPr>
        <w:t>2</w:t>
      </w:r>
      <w:r>
        <w:rPr>
          <w:lang w:eastAsia="pl-PL"/>
        </w:rPr>
        <w:t xml:space="preserve"> and MTT</w:t>
      </w:r>
      <w:r>
        <w:rPr>
          <w:rStyle w:val="bibuscitbase"/>
          <w:lang w:eastAsia="pl-PL"/>
        </w:rPr>
        <w:t>3</w:t>
      </w:r>
      <w:r>
        <w:rPr>
          <w:lang w:eastAsia="pl-PL"/>
        </w:rPr>
        <w:t xml:space="preserve"> assays</w:t>
      </w:r>
      <w:r w:rsidR="00FB04FC">
        <w:rPr>
          <w:lang w:eastAsia="pl-PL"/>
        </w:rPr>
        <w:t>. H</w:t>
      </w:r>
      <w:r>
        <w:rPr>
          <w:lang w:eastAsia="pl-PL"/>
        </w:rPr>
        <w:t>owever</w:t>
      </w:r>
      <w:r w:rsidR="00FB04FC">
        <w:rPr>
          <w:lang w:eastAsia="pl-PL"/>
        </w:rPr>
        <w:t>,</w:t>
      </w:r>
      <w:r>
        <w:rPr>
          <w:lang w:eastAsia="pl-PL"/>
        </w:rPr>
        <w:t xml:space="preserve"> complete functionality is also possible with other assays based on measurement of optical densities.</w:t>
      </w:r>
    </w:p>
    <w:p w:rsidR="008B643A" w:rsidRDefault="00204C39">
      <w:pPr>
        <w:pStyle w:val="Textbody"/>
        <w:spacing w:after="0"/>
        <w:jc w:val="both"/>
        <w:rPr>
          <w:i/>
          <w:iCs/>
          <w:lang w:val="en-US"/>
        </w:rPr>
      </w:pPr>
      <w:r>
        <w:rPr>
          <w:i/>
          <w:iCs/>
          <w:lang w:val="en-US"/>
        </w:rPr>
        <w:tab/>
      </w:r>
    </w:p>
    <w:p w:rsidR="008B643A" w:rsidRDefault="00204C39">
      <w:pPr>
        <w:pStyle w:val="Textbody"/>
        <w:spacing w:after="0"/>
        <w:jc w:val="both"/>
        <w:rPr>
          <w:i/>
          <w:iCs/>
          <w:sz w:val="22"/>
          <w:szCs w:val="22"/>
          <w:lang w:val="en-US"/>
        </w:rPr>
      </w:pPr>
      <w:r>
        <w:rPr>
          <w:b/>
          <w:bCs/>
          <w:i/>
          <w:iCs/>
          <w:sz w:val="22"/>
          <w:szCs w:val="22"/>
          <w:u w:val="single"/>
          <w:lang w:val="en-US"/>
        </w:rPr>
        <w:t>Example:</w:t>
      </w:r>
      <w:r>
        <w:rPr>
          <w:i/>
          <w:iCs/>
          <w:sz w:val="22"/>
          <w:szCs w:val="22"/>
          <w:lang w:val="en-US"/>
        </w:rPr>
        <w:t xml:space="preserve"> Run </w:t>
      </w:r>
      <w:proofErr w:type="spellStart"/>
      <w:r>
        <w:rPr>
          <w:i/>
          <w:iCs/>
          <w:sz w:val="22"/>
          <w:szCs w:val="22"/>
          <w:lang w:val="en-US"/>
        </w:rPr>
        <w:t>Cheburator</w:t>
      </w:r>
      <w:proofErr w:type="spellEnd"/>
      <w:r>
        <w:rPr>
          <w:i/>
          <w:iCs/>
          <w:sz w:val="22"/>
          <w:szCs w:val="22"/>
          <w:lang w:val="en-US"/>
        </w:rPr>
        <w:t xml:space="preserve"> and click </w:t>
      </w:r>
      <w:r>
        <w:rPr>
          <w:b/>
          <w:bCs/>
          <w:i/>
          <w:iCs/>
          <w:sz w:val="22"/>
          <w:szCs w:val="22"/>
          <w:lang w:val="en-US"/>
        </w:rPr>
        <w:t>Open data file</w:t>
      </w:r>
      <w:r>
        <w:rPr>
          <w:i/>
          <w:iCs/>
          <w:sz w:val="22"/>
          <w:szCs w:val="22"/>
          <w:lang w:val="en-US"/>
        </w:rPr>
        <w:t xml:space="preserve"> button. Locate and select file the </w:t>
      </w:r>
      <w:r>
        <w:rPr>
          <w:b/>
          <w:bCs/>
          <w:i/>
          <w:iCs/>
          <w:sz w:val="22"/>
          <w:szCs w:val="22"/>
          <w:lang w:val="en-US"/>
        </w:rPr>
        <w:t>victor.csv</w:t>
      </w:r>
      <w:r>
        <w:rPr>
          <w:i/>
          <w:iCs/>
          <w:sz w:val="22"/>
          <w:szCs w:val="22"/>
          <w:lang w:val="en-US"/>
        </w:rPr>
        <w:t xml:space="preserve"> in the </w:t>
      </w:r>
      <w:r>
        <w:rPr>
          <w:b/>
          <w:bCs/>
          <w:i/>
          <w:iCs/>
          <w:sz w:val="22"/>
          <w:szCs w:val="22"/>
          <w:lang w:val="en-US"/>
        </w:rPr>
        <w:t>Samples</w:t>
      </w:r>
      <w:r>
        <w:rPr>
          <w:i/>
          <w:iCs/>
          <w:sz w:val="22"/>
          <w:szCs w:val="22"/>
          <w:lang w:val="en-US"/>
        </w:rPr>
        <w:t xml:space="preserve"> directory. Since this is a comma separated file produced by Excel, it has to be converted before analysis. You will see the built-in converter window shown on </w:t>
      </w:r>
      <w:r>
        <w:rPr>
          <w:b/>
          <w:bCs/>
          <w:i/>
          <w:iCs/>
          <w:sz w:val="22"/>
          <w:szCs w:val="22"/>
          <w:lang w:val="en-US"/>
        </w:rPr>
        <w:t>Figure 2</w:t>
      </w:r>
      <w:r>
        <w:rPr>
          <w:i/>
          <w:iCs/>
          <w:sz w:val="22"/>
          <w:szCs w:val="22"/>
          <w:lang w:val="en-US"/>
        </w:rPr>
        <w:t xml:space="preserve">. Please select the first row of the plate data from the list box, as shown in the picture. Other rows have to follow immediately after the first row. All rows before and after the plate data will be discarded. Each read row is then divided into separate values using the delimiter specified in the combo box below (semicolon is the default, but other delimiters are also supported). Since each row could contain more values than the number of wells, you also have to specify in the edit box below which value in the row will be treated as the optical density value for the first well. Data for the subsequent wells have to follow immediately after, separated by the delimiters. Note that you can use either period or comma as decimal separator in your data files. </w:t>
      </w:r>
      <w:proofErr w:type="spellStart"/>
      <w:r>
        <w:rPr>
          <w:i/>
          <w:iCs/>
          <w:sz w:val="22"/>
          <w:szCs w:val="22"/>
          <w:lang w:val="en-US"/>
        </w:rPr>
        <w:t>Cheburator</w:t>
      </w:r>
      <w:proofErr w:type="spellEnd"/>
      <w:r>
        <w:rPr>
          <w:i/>
          <w:iCs/>
          <w:sz w:val="22"/>
          <w:szCs w:val="22"/>
          <w:lang w:val="en-US"/>
        </w:rPr>
        <w:t xml:space="preserve"> will automatically convert all decimal separators into periods, which are </w:t>
      </w:r>
      <w:r w:rsidR="00FB04FC">
        <w:rPr>
          <w:i/>
          <w:iCs/>
          <w:sz w:val="22"/>
          <w:szCs w:val="22"/>
          <w:lang w:val="en-US"/>
        </w:rPr>
        <w:t xml:space="preserve">the </w:t>
      </w:r>
      <w:r>
        <w:rPr>
          <w:i/>
          <w:iCs/>
          <w:sz w:val="22"/>
          <w:szCs w:val="22"/>
          <w:lang w:val="en-US"/>
        </w:rPr>
        <w:t xml:space="preserve">default. After specifying the above parameters, click the </w:t>
      </w:r>
      <w:r>
        <w:rPr>
          <w:b/>
          <w:bCs/>
          <w:i/>
          <w:iCs/>
          <w:sz w:val="22"/>
          <w:szCs w:val="22"/>
          <w:lang w:val="en-US"/>
        </w:rPr>
        <w:t>OK</w:t>
      </w:r>
      <w:r>
        <w:rPr>
          <w:i/>
          <w:iCs/>
          <w:sz w:val="22"/>
          <w:szCs w:val="22"/>
          <w:lang w:val="en-US"/>
        </w:rPr>
        <w:t xml:space="preserve"> button and data will be imported from the file for analysis.</w:t>
      </w:r>
    </w:p>
    <w:p w:rsidR="008B643A" w:rsidRDefault="008B643A">
      <w:pPr>
        <w:pStyle w:val="Textbody"/>
        <w:spacing w:after="0"/>
        <w:jc w:val="both"/>
        <w:rPr>
          <w:i/>
          <w:iCs/>
          <w:sz w:val="22"/>
          <w:szCs w:val="22"/>
          <w:lang w:val="en-US"/>
        </w:rPr>
      </w:pPr>
    </w:p>
    <w:p w:rsidR="008B643A" w:rsidRDefault="00BA0688">
      <w:pPr>
        <w:pStyle w:val="Textbody"/>
        <w:spacing w:after="0"/>
        <w:jc w:val="both"/>
        <w:rPr>
          <w:color w:val="0000FF"/>
          <w:lang w:val="en-US"/>
        </w:rPr>
      </w:pPr>
      <w:r>
        <w:rPr>
          <w:noProof/>
          <w:color w:val="0000FF"/>
          <w:lang w:val="ru-RU" w:eastAsia="ru-RU"/>
        </w:rPr>
        <w:drawing>
          <wp:inline distT="0" distB="0" distL="0" distR="0">
            <wp:extent cx="6119495" cy="3968750"/>
            <wp:effectExtent l="19050" t="0" r="0" b="0"/>
            <wp:docPr id="11" name="Рисунок 10" descr="Import_dia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_dialog.png"/>
                    <pic:cNvPicPr/>
                  </pic:nvPicPr>
                  <pic:blipFill>
                    <a:blip r:embed="rId13" cstate="print"/>
                    <a:stretch>
                      <a:fillRect/>
                    </a:stretch>
                  </pic:blipFill>
                  <pic:spPr>
                    <a:xfrm>
                      <a:off x="0" y="0"/>
                      <a:ext cx="6119495" cy="3968750"/>
                    </a:xfrm>
                    <a:prstGeom prst="rect">
                      <a:avLst/>
                    </a:prstGeom>
                  </pic:spPr>
                </pic:pic>
              </a:graphicData>
            </a:graphic>
          </wp:inline>
        </w:drawing>
      </w:r>
    </w:p>
    <w:p w:rsidR="00BA0688" w:rsidRDefault="00BA0688">
      <w:pPr>
        <w:pStyle w:val="Textbody"/>
        <w:spacing w:after="0"/>
        <w:jc w:val="both"/>
        <w:rPr>
          <w:b/>
          <w:bCs/>
          <w:i/>
          <w:iCs/>
          <w:sz w:val="22"/>
          <w:szCs w:val="22"/>
          <w:lang w:val="en-US"/>
        </w:rPr>
      </w:pPr>
    </w:p>
    <w:p w:rsidR="008B643A" w:rsidRPr="000A4C03" w:rsidRDefault="00204C39">
      <w:pPr>
        <w:pStyle w:val="Textbody"/>
        <w:spacing w:after="0"/>
        <w:jc w:val="both"/>
        <w:rPr>
          <w:lang w:val="en-US"/>
        </w:rPr>
      </w:pPr>
      <w:r>
        <w:rPr>
          <w:b/>
          <w:bCs/>
          <w:i/>
          <w:iCs/>
          <w:sz w:val="22"/>
          <w:szCs w:val="22"/>
          <w:lang w:val="en-US"/>
        </w:rPr>
        <w:t>Figure 2</w:t>
      </w:r>
      <w:r>
        <w:rPr>
          <w:i/>
          <w:iCs/>
          <w:sz w:val="22"/>
          <w:szCs w:val="22"/>
          <w:lang w:val="en-US"/>
        </w:rPr>
        <w:t>. Built-in converter window.</w:t>
      </w:r>
    </w:p>
    <w:p w:rsidR="008B643A" w:rsidRPr="000A4C03" w:rsidRDefault="00204C39">
      <w:pPr>
        <w:pStyle w:val="Heading21"/>
        <w:pageBreakBefore/>
        <w:rPr>
          <w:rFonts w:ascii="Times New Roman" w:hAnsi="Times New Roman"/>
          <w:color w:val="000080"/>
          <w:sz w:val="24"/>
          <w:szCs w:val="24"/>
          <w:lang w:val="en-US"/>
        </w:rPr>
      </w:pPr>
      <w:bookmarkStart w:id="6" w:name="_Toc388197850"/>
      <w:r w:rsidRPr="000A4C03">
        <w:rPr>
          <w:rFonts w:ascii="Times New Roman" w:hAnsi="Times New Roman"/>
          <w:color w:val="000080"/>
          <w:sz w:val="24"/>
          <w:szCs w:val="24"/>
          <w:lang w:val="en-US"/>
        </w:rPr>
        <w:lastRenderedPageBreak/>
        <w:t>3.3. Entering the test parameters</w:t>
      </w:r>
      <w:bookmarkEnd w:id="6"/>
    </w:p>
    <w:p w:rsidR="008B643A" w:rsidRDefault="008B643A">
      <w:pPr>
        <w:pStyle w:val="Textbody"/>
        <w:spacing w:after="0"/>
        <w:rPr>
          <w:lang w:val="en-US"/>
        </w:rPr>
      </w:pPr>
    </w:p>
    <w:p w:rsidR="008B643A" w:rsidRDefault="00204C39">
      <w:pPr>
        <w:pStyle w:val="Standard"/>
        <w:jc w:val="both"/>
        <w:rPr>
          <w:lang w:val="en-US" w:eastAsia="pl-PL"/>
        </w:rPr>
      </w:pPr>
      <w:r>
        <w:rPr>
          <w:lang w:val="en-US" w:eastAsia="pl-PL"/>
        </w:rPr>
        <w:tab/>
        <w:t xml:space="preserve">After the data </w:t>
      </w:r>
      <w:r w:rsidR="00FB04FC">
        <w:rPr>
          <w:lang w:val="en-US" w:eastAsia="pl-PL"/>
        </w:rPr>
        <w:t xml:space="preserve">is </w:t>
      </w:r>
      <w:r>
        <w:rPr>
          <w:lang w:val="en-US" w:eastAsia="pl-PL"/>
        </w:rPr>
        <w:t xml:space="preserve">loaded, pages </w:t>
      </w:r>
      <w:r>
        <w:rPr>
          <w:b/>
          <w:bCs/>
          <w:lang w:val="en-US" w:eastAsia="pl-PL"/>
        </w:rPr>
        <w:t>Test data and information</w:t>
      </w:r>
      <w:r>
        <w:rPr>
          <w:lang w:val="en-US" w:eastAsia="pl-PL"/>
        </w:rPr>
        <w:t xml:space="preserve"> and </w:t>
      </w:r>
      <w:r>
        <w:rPr>
          <w:b/>
          <w:bCs/>
          <w:lang w:val="en-US" w:eastAsia="pl-PL"/>
        </w:rPr>
        <w:t>Options</w:t>
      </w:r>
      <w:r>
        <w:rPr>
          <w:lang w:val="en-US" w:eastAsia="pl-PL"/>
        </w:rPr>
        <w:t xml:space="preserve"> become visible. The optical density values are shown in the </w:t>
      </w:r>
      <w:r>
        <w:rPr>
          <w:b/>
          <w:bCs/>
          <w:lang w:val="en-US" w:eastAsia="pl-PL"/>
        </w:rPr>
        <w:t>Plate data</w:t>
      </w:r>
      <w:r>
        <w:rPr>
          <w:lang w:val="en-US" w:eastAsia="pl-PL"/>
        </w:rPr>
        <w:t xml:space="preserve"> table at the bottom-right part of the window. One should specify optional test details on the first page, entering the following information: test name and date, name of cell line and cell concentration used, researcher, wave length at which optical densities were read</w:t>
      </w:r>
      <w:r w:rsidR="00FB04FC">
        <w:rPr>
          <w:lang w:val="en-US" w:eastAsia="pl-PL"/>
        </w:rPr>
        <w:t>,</w:t>
      </w:r>
      <w:r>
        <w:rPr>
          <w:lang w:val="en-US" w:eastAsia="pl-PL"/>
        </w:rPr>
        <w:t xml:space="preserve"> and test comments (</w:t>
      </w:r>
      <w:r>
        <w:rPr>
          <w:b/>
          <w:bCs/>
          <w:lang w:val="en-US" w:eastAsia="pl-PL"/>
        </w:rPr>
        <w:t>Figure 3</w:t>
      </w:r>
      <w:r>
        <w:rPr>
          <w:lang w:val="en-US" w:eastAsia="pl-PL"/>
        </w:rPr>
        <w:t>). Path, date</w:t>
      </w:r>
      <w:r w:rsidR="00FB04FC">
        <w:rPr>
          <w:lang w:val="en-US" w:eastAsia="pl-PL"/>
        </w:rPr>
        <w:t>,</w:t>
      </w:r>
      <w:r>
        <w:rPr>
          <w:lang w:val="en-US" w:eastAsia="pl-PL"/>
        </w:rPr>
        <w:t xml:space="preserve"> and the time of data file loaded will be shown below in blue. This information will also be shown in the final report produced by </w:t>
      </w:r>
      <w:proofErr w:type="spellStart"/>
      <w:r>
        <w:rPr>
          <w:lang w:val="en-US" w:eastAsia="pl-PL"/>
        </w:rPr>
        <w:t>Cheburator</w:t>
      </w:r>
      <w:proofErr w:type="spellEnd"/>
      <w:r>
        <w:rPr>
          <w:lang w:val="en-US" w:eastAsia="pl-PL"/>
        </w:rPr>
        <w:t xml:space="preserve"> (see </w:t>
      </w:r>
      <w:r>
        <w:rPr>
          <w:b/>
          <w:bCs/>
          <w:i/>
          <w:iCs/>
          <w:lang w:val="en-US" w:eastAsia="pl-PL"/>
        </w:rPr>
        <w:t>3.</w:t>
      </w:r>
      <w:r w:rsidR="00B404B3">
        <w:rPr>
          <w:b/>
          <w:bCs/>
          <w:i/>
          <w:iCs/>
          <w:lang w:val="en-US" w:eastAsia="pl-PL"/>
        </w:rPr>
        <w:t>8</w:t>
      </w:r>
      <w:r>
        <w:rPr>
          <w:b/>
          <w:bCs/>
          <w:i/>
          <w:iCs/>
          <w:lang w:val="en-US" w:eastAsia="pl-PL"/>
        </w:rPr>
        <w:t xml:space="preserve"> Printing the analysis report</w:t>
      </w:r>
      <w:r>
        <w:rPr>
          <w:i/>
          <w:iCs/>
          <w:lang w:val="en-US" w:eastAsia="pl-PL"/>
        </w:rPr>
        <w:t xml:space="preserve"> </w:t>
      </w:r>
      <w:r>
        <w:rPr>
          <w:lang w:val="en-US" w:eastAsia="pl-PL"/>
        </w:rPr>
        <w:t>section).</w:t>
      </w:r>
    </w:p>
    <w:p w:rsidR="008B643A" w:rsidRDefault="008B643A">
      <w:pPr>
        <w:pStyle w:val="Standard"/>
        <w:jc w:val="both"/>
        <w:rPr>
          <w:lang w:val="en-US" w:eastAsia="pl-PL"/>
        </w:rPr>
      </w:pPr>
    </w:p>
    <w:p w:rsidR="008B643A" w:rsidRDefault="003F4719">
      <w:pPr>
        <w:pStyle w:val="Standard"/>
        <w:jc w:val="both"/>
        <w:rPr>
          <w:color w:val="0000FF"/>
          <w:lang w:val="en-US" w:eastAsia="pl-PL"/>
        </w:rPr>
      </w:pPr>
      <w:r>
        <w:rPr>
          <w:noProof/>
          <w:color w:val="0000FF"/>
          <w:lang w:val="ru-RU" w:eastAsia="ru-RU"/>
        </w:rPr>
        <w:drawing>
          <wp:inline distT="0" distB="0" distL="0" distR="0">
            <wp:extent cx="6117336" cy="3851867"/>
            <wp:effectExtent l="19050" t="0" r="0" b="0"/>
            <wp:docPr id="2" name="Рисунок 1" descr="Figure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4.png"/>
                    <pic:cNvPicPr/>
                  </pic:nvPicPr>
                  <pic:blipFill>
                    <a:blip r:embed="rId14" cstate="print"/>
                    <a:stretch>
                      <a:fillRect/>
                    </a:stretch>
                  </pic:blipFill>
                  <pic:spPr>
                    <a:xfrm>
                      <a:off x="0" y="0"/>
                      <a:ext cx="6117336" cy="3851867"/>
                    </a:xfrm>
                    <a:prstGeom prst="rect">
                      <a:avLst/>
                    </a:prstGeom>
                  </pic:spPr>
                </pic:pic>
              </a:graphicData>
            </a:graphic>
          </wp:inline>
        </w:drawing>
      </w:r>
    </w:p>
    <w:p w:rsidR="00BA0688" w:rsidRDefault="00BA0688">
      <w:pPr>
        <w:pStyle w:val="Standard"/>
        <w:jc w:val="both"/>
        <w:rPr>
          <w:b/>
          <w:bCs/>
          <w:i/>
          <w:iCs/>
          <w:sz w:val="22"/>
          <w:szCs w:val="22"/>
          <w:lang w:val="en-US" w:eastAsia="pl-PL"/>
        </w:rPr>
      </w:pPr>
    </w:p>
    <w:p w:rsidR="008B643A" w:rsidRDefault="00204C39">
      <w:pPr>
        <w:pStyle w:val="Standard"/>
        <w:jc w:val="both"/>
        <w:rPr>
          <w:i/>
          <w:iCs/>
          <w:sz w:val="22"/>
          <w:szCs w:val="22"/>
          <w:lang w:val="en-US" w:eastAsia="pl-PL"/>
        </w:rPr>
      </w:pPr>
      <w:r>
        <w:rPr>
          <w:b/>
          <w:bCs/>
          <w:i/>
          <w:iCs/>
          <w:sz w:val="22"/>
          <w:szCs w:val="22"/>
          <w:lang w:val="en-US" w:eastAsia="pl-PL"/>
        </w:rPr>
        <w:t>Figure 3</w:t>
      </w:r>
      <w:r>
        <w:rPr>
          <w:i/>
          <w:iCs/>
          <w:sz w:val="22"/>
          <w:szCs w:val="22"/>
          <w:lang w:val="en-US" w:eastAsia="pl-PL"/>
        </w:rPr>
        <w:t>. Main window of the program with test parameters.</w:t>
      </w:r>
    </w:p>
    <w:p w:rsidR="008B643A" w:rsidRDefault="00204C39">
      <w:pPr>
        <w:pStyle w:val="Standard"/>
        <w:jc w:val="both"/>
        <w:rPr>
          <w:lang w:val="en-US" w:eastAsia="pl-PL"/>
        </w:rPr>
      </w:pPr>
      <w:r>
        <w:rPr>
          <w:lang w:val="en-US" w:eastAsia="pl-PL"/>
        </w:rPr>
        <w:tab/>
      </w:r>
    </w:p>
    <w:p w:rsidR="008B643A" w:rsidRDefault="00204C39">
      <w:pPr>
        <w:pStyle w:val="Standard"/>
        <w:jc w:val="both"/>
        <w:rPr>
          <w:lang w:val="en-US" w:eastAsia="pl-PL"/>
        </w:rPr>
      </w:pPr>
      <w:r>
        <w:rPr>
          <w:lang w:val="en-US" w:eastAsia="pl-PL"/>
        </w:rPr>
        <w:tab/>
        <w:t xml:space="preserve">The </w:t>
      </w:r>
      <w:r w:rsidR="0021123D">
        <w:rPr>
          <w:lang w:val="en-US" w:eastAsia="pl-PL"/>
        </w:rPr>
        <w:t xml:space="preserve">designated </w:t>
      </w:r>
      <w:r>
        <w:rPr>
          <w:lang w:val="en-US" w:eastAsia="pl-PL"/>
        </w:rPr>
        <w:t xml:space="preserve">row </w:t>
      </w:r>
      <w:r w:rsidR="0021123D">
        <w:rPr>
          <w:lang w:val="en-US" w:eastAsia="pl-PL"/>
        </w:rPr>
        <w:t>containing control values</w:t>
      </w:r>
      <w:r>
        <w:rPr>
          <w:lang w:val="en-US" w:eastAsia="pl-PL"/>
        </w:rPr>
        <w:t xml:space="preserve"> (nine values for control of untreated cells and three values for control of the media) have to be selected in the </w:t>
      </w:r>
      <w:r>
        <w:rPr>
          <w:b/>
          <w:bCs/>
          <w:lang w:val="en-US" w:eastAsia="pl-PL"/>
        </w:rPr>
        <w:t>Control row</w:t>
      </w:r>
      <w:r>
        <w:rPr>
          <w:lang w:val="en-US" w:eastAsia="pl-PL"/>
        </w:rPr>
        <w:t xml:space="preserve"> combo box</w:t>
      </w:r>
      <w:r w:rsidR="0021123D">
        <w:rPr>
          <w:lang w:val="en-US" w:eastAsia="pl-PL"/>
        </w:rPr>
        <w:t xml:space="preserve"> (in this case, row H)</w:t>
      </w:r>
      <w:r>
        <w:rPr>
          <w:lang w:val="en-US" w:eastAsia="pl-PL"/>
        </w:rPr>
        <w:t xml:space="preserve">. Cell and medium control values are </w:t>
      </w:r>
      <w:r w:rsidR="00FB04FC">
        <w:rPr>
          <w:lang w:val="en-US" w:eastAsia="pl-PL"/>
        </w:rPr>
        <w:t>d</w:t>
      </w:r>
      <w:r>
        <w:rPr>
          <w:lang w:val="en-US" w:eastAsia="pl-PL"/>
        </w:rPr>
        <w:t>isplayed in blue and green, respectively. After selection, optical densities in wells will be highlighted in color with the intensities proportional to the ratio between their respective values and control values. The higher the optical density value in the given well, the closer it is to the value of the control of untreated cells and the lower effect observed for the respective drug and the dose used in this well. This absorbance assessment feature is useful for quick visual data checking and comparing the relative potencies of tested chemical compounds. To turn this feature on/off</w:t>
      </w:r>
      <w:r w:rsidR="00C27CB8">
        <w:rPr>
          <w:lang w:val="en-US" w:eastAsia="pl-PL"/>
        </w:rPr>
        <w:t>,</w:t>
      </w:r>
      <w:r>
        <w:rPr>
          <w:lang w:val="en-US" w:eastAsia="pl-PL"/>
        </w:rPr>
        <w:t xml:space="preserve"> use the </w:t>
      </w:r>
      <w:r w:rsidR="001B4E49" w:rsidRPr="001B4E49">
        <w:rPr>
          <w:b/>
          <w:lang w:val="en-US" w:eastAsia="pl-PL"/>
        </w:rPr>
        <w:t>Quick absorbance assessment</w:t>
      </w:r>
      <w:r w:rsidR="001B4E49">
        <w:rPr>
          <w:lang w:val="en-US" w:eastAsia="pl-PL"/>
        </w:rPr>
        <w:t xml:space="preserve"> </w:t>
      </w:r>
      <w:r>
        <w:rPr>
          <w:lang w:val="en-US" w:eastAsia="pl-PL"/>
        </w:rPr>
        <w:t xml:space="preserve">check box located below the </w:t>
      </w:r>
      <w:r>
        <w:rPr>
          <w:b/>
          <w:bCs/>
          <w:lang w:val="en-US" w:eastAsia="pl-PL"/>
        </w:rPr>
        <w:t>Control row</w:t>
      </w:r>
      <w:r>
        <w:rPr>
          <w:lang w:val="en-US" w:eastAsia="pl-PL"/>
        </w:rPr>
        <w:t xml:space="preserve"> combo box in the right-upper part of the </w:t>
      </w:r>
      <w:r w:rsidR="001B4E49">
        <w:rPr>
          <w:lang w:val="en-US" w:eastAsia="pl-PL"/>
        </w:rPr>
        <w:t>window</w:t>
      </w:r>
      <w:r>
        <w:rPr>
          <w:lang w:val="en-US" w:eastAsia="pl-PL"/>
        </w:rPr>
        <w:t xml:space="preserve"> (</w:t>
      </w:r>
      <w:r>
        <w:rPr>
          <w:b/>
          <w:bCs/>
          <w:lang w:val="en-US" w:eastAsia="pl-PL"/>
        </w:rPr>
        <w:t>Figure 3</w:t>
      </w:r>
      <w:r>
        <w:rPr>
          <w:lang w:val="en-US" w:eastAsia="pl-PL"/>
        </w:rPr>
        <w:t xml:space="preserve">).  </w:t>
      </w:r>
    </w:p>
    <w:p w:rsidR="008B643A" w:rsidRDefault="00204C39">
      <w:pPr>
        <w:pStyle w:val="Standard"/>
        <w:jc w:val="both"/>
        <w:rPr>
          <w:lang w:val="en-US" w:eastAsia="pl-PL"/>
        </w:rPr>
      </w:pPr>
      <w:r>
        <w:rPr>
          <w:lang w:val="en-US" w:eastAsia="pl-PL"/>
        </w:rPr>
        <w:tab/>
      </w:r>
    </w:p>
    <w:p w:rsidR="008B643A" w:rsidRDefault="00204C39">
      <w:pPr>
        <w:pStyle w:val="Standard"/>
        <w:pageBreakBefore/>
        <w:jc w:val="both"/>
        <w:rPr>
          <w:lang w:val="en-US" w:eastAsia="pl-PL"/>
        </w:rPr>
      </w:pPr>
      <w:r>
        <w:rPr>
          <w:lang w:val="en-US" w:eastAsia="pl-PL"/>
        </w:rPr>
        <w:lastRenderedPageBreak/>
        <w:tab/>
        <w:t xml:space="preserve">The next stage is the selection of the other rows which contain test data to be further analyzed. This </w:t>
      </w:r>
      <w:r w:rsidR="00540E92">
        <w:rPr>
          <w:lang w:val="en-US" w:eastAsia="pl-PL"/>
        </w:rPr>
        <w:t xml:space="preserve">can </w:t>
      </w:r>
      <w:r>
        <w:rPr>
          <w:lang w:val="en-US" w:eastAsia="pl-PL"/>
        </w:rPr>
        <w:t xml:space="preserve">be done using the check boxes located on the left side of the </w:t>
      </w:r>
      <w:r>
        <w:rPr>
          <w:b/>
          <w:bCs/>
          <w:lang w:val="en-US" w:eastAsia="pl-PL"/>
        </w:rPr>
        <w:t>Plate data</w:t>
      </w:r>
      <w:r>
        <w:rPr>
          <w:lang w:val="en-US" w:eastAsia="pl-PL"/>
        </w:rPr>
        <w:t xml:space="preserve"> table. The name of the compound and the dose ranges have to be specified for every selected r</w:t>
      </w:r>
      <w:r w:rsidR="00540E92">
        <w:rPr>
          <w:lang w:val="en-US" w:eastAsia="pl-PL"/>
        </w:rPr>
        <w:t>o</w:t>
      </w:r>
      <w:r>
        <w:rPr>
          <w:lang w:val="en-US" w:eastAsia="pl-PL"/>
        </w:rPr>
        <w:t xml:space="preserve">w using the </w:t>
      </w:r>
      <w:r>
        <w:rPr>
          <w:b/>
          <w:bCs/>
          <w:lang w:val="en-US" w:eastAsia="pl-PL"/>
        </w:rPr>
        <w:t>Agent name</w:t>
      </w:r>
      <w:r>
        <w:rPr>
          <w:lang w:val="en-US" w:eastAsia="pl-PL"/>
        </w:rPr>
        <w:t xml:space="preserve"> edit boxes and </w:t>
      </w:r>
      <w:r w:rsidR="00540E92">
        <w:rPr>
          <w:lang w:val="en-US" w:eastAsia="pl-PL"/>
        </w:rPr>
        <w:t xml:space="preserve">the </w:t>
      </w:r>
      <w:r>
        <w:rPr>
          <w:b/>
          <w:bCs/>
          <w:lang w:val="en-US" w:eastAsia="pl-PL"/>
        </w:rPr>
        <w:t>Dose used</w:t>
      </w:r>
      <w:r>
        <w:rPr>
          <w:lang w:val="en-US" w:eastAsia="pl-PL"/>
        </w:rPr>
        <w:t xml:space="preserve"> combo boxes, respectively. Please note that the dose ranges available for selection in the </w:t>
      </w:r>
      <w:r>
        <w:rPr>
          <w:b/>
          <w:bCs/>
          <w:lang w:val="en-US" w:eastAsia="pl-PL"/>
        </w:rPr>
        <w:t>Dose used</w:t>
      </w:r>
      <w:r>
        <w:rPr>
          <w:lang w:val="en-US" w:eastAsia="pl-PL"/>
        </w:rPr>
        <w:t xml:space="preserve"> combo boxes are dependent on the type of abscissa axis transformation used (see</w:t>
      </w:r>
      <w:r>
        <w:rPr>
          <w:b/>
          <w:bCs/>
          <w:i/>
          <w:iCs/>
          <w:lang w:val="en-US" w:eastAsia="pl-PL"/>
        </w:rPr>
        <w:t xml:space="preserve"> 3.</w:t>
      </w:r>
      <w:r w:rsidR="00B404B3">
        <w:rPr>
          <w:b/>
          <w:bCs/>
          <w:i/>
          <w:iCs/>
          <w:lang w:val="en-US" w:eastAsia="pl-PL"/>
        </w:rPr>
        <w:t>5</w:t>
      </w:r>
      <w:r>
        <w:rPr>
          <w:b/>
          <w:bCs/>
          <w:i/>
          <w:iCs/>
          <w:lang w:val="en-US" w:eastAsia="pl-PL"/>
        </w:rPr>
        <w:t xml:space="preserve"> Data analysis and the selection of the method</w:t>
      </w:r>
      <w:r>
        <w:rPr>
          <w:i/>
          <w:iCs/>
          <w:lang w:val="en-US" w:eastAsia="pl-PL"/>
        </w:rPr>
        <w:t xml:space="preserve"> </w:t>
      </w:r>
      <w:r>
        <w:rPr>
          <w:lang w:val="en-US" w:eastAsia="pl-PL"/>
        </w:rPr>
        <w:t xml:space="preserve">section). The units in which the doses are measured can be specified on the </w:t>
      </w:r>
      <w:r>
        <w:rPr>
          <w:b/>
          <w:bCs/>
          <w:lang w:val="en-US" w:eastAsia="pl-PL"/>
        </w:rPr>
        <w:t>Options</w:t>
      </w:r>
      <w:r>
        <w:rPr>
          <w:lang w:val="en-US" w:eastAsia="pl-PL"/>
        </w:rPr>
        <w:t xml:space="preserve"> page (see below)</w:t>
      </w:r>
    </w:p>
    <w:p w:rsidR="008B643A" w:rsidRDefault="008B643A">
      <w:pPr>
        <w:pStyle w:val="Standard"/>
        <w:jc w:val="both"/>
        <w:rPr>
          <w:lang w:val="en-US" w:eastAsia="pl-PL"/>
        </w:rPr>
      </w:pPr>
    </w:p>
    <w:p w:rsidR="008B643A" w:rsidRDefault="00204C39">
      <w:pPr>
        <w:pStyle w:val="Textbody"/>
        <w:spacing w:after="0"/>
        <w:jc w:val="both"/>
        <w:rPr>
          <w:sz w:val="22"/>
          <w:szCs w:val="22"/>
          <w:lang w:val="en-US"/>
        </w:rPr>
      </w:pPr>
      <w:r>
        <w:rPr>
          <w:b/>
          <w:bCs/>
          <w:i/>
          <w:iCs/>
          <w:sz w:val="22"/>
          <w:szCs w:val="22"/>
          <w:u w:val="single"/>
          <w:lang w:val="en-US"/>
        </w:rPr>
        <w:t>Example:</w:t>
      </w:r>
      <w:r>
        <w:rPr>
          <w:i/>
          <w:iCs/>
          <w:sz w:val="22"/>
          <w:szCs w:val="22"/>
          <w:lang w:val="en-US"/>
        </w:rPr>
        <w:t xml:space="preserve"> If we select dose range “10;1;0.1;0.01” µM it means that wells 1-3 in the current row represents triplicated data for the 10 µM dose, wells 4-6 in the same row represent data for the 1 µg/ml dose and so on. See </w:t>
      </w:r>
      <w:r>
        <w:rPr>
          <w:b/>
          <w:bCs/>
          <w:i/>
          <w:iCs/>
          <w:sz w:val="22"/>
          <w:szCs w:val="22"/>
          <w:lang w:val="en-US"/>
        </w:rPr>
        <w:t xml:space="preserve">3.1 Prerequisites for the tests analyzed by the </w:t>
      </w:r>
      <w:proofErr w:type="spellStart"/>
      <w:r>
        <w:rPr>
          <w:b/>
          <w:bCs/>
          <w:i/>
          <w:iCs/>
          <w:sz w:val="22"/>
          <w:szCs w:val="22"/>
          <w:lang w:val="en-US"/>
        </w:rPr>
        <w:t>Cheburator</w:t>
      </w:r>
      <w:proofErr w:type="spellEnd"/>
    </w:p>
    <w:p w:rsidR="008B643A" w:rsidRDefault="008B643A">
      <w:pPr>
        <w:pStyle w:val="Textbody"/>
        <w:spacing w:after="0"/>
        <w:jc w:val="both"/>
        <w:rPr>
          <w:i/>
          <w:iCs/>
          <w:sz w:val="22"/>
          <w:szCs w:val="22"/>
          <w:lang w:val="en-US"/>
        </w:rPr>
      </w:pPr>
    </w:p>
    <w:p w:rsidR="008B643A" w:rsidRDefault="00204C39">
      <w:pPr>
        <w:pStyle w:val="Tekstpodstawowy3"/>
        <w:autoSpaceDE/>
        <w:rPr>
          <w:lang w:eastAsia="pl-PL"/>
        </w:rPr>
      </w:pPr>
      <w:r>
        <w:rPr>
          <w:lang w:eastAsia="pl-PL"/>
        </w:rPr>
        <w:tab/>
        <w:t xml:space="preserve"> It is also possible to discard or modify single values from the plate. To do this, the user must double click on the desired value in the plate table of the main window (</w:t>
      </w:r>
      <w:r>
        <w:rPr>
          <w:b/>
          <w:bCs/>
          <w:lang w:eastAsia="pl-PL"/>
        </w:rPr>
        <w:t>Figure 3</w:t>
      </w:r>
      <w:r>
        <w:rPr>
          <w:lang w:eastAsia="pl-PL"/>
        </w:rPr>
        <w:t>). The Edit data window will be shown (</w:t>
      </w:r>
      <w:r>
        <w:rPr>
          <w:b/>
          <w:bCs/>
          <w:lang w:eastAsia="pl-PL"/>
        </w:rPr>
        <w:t>Figure 4</w:t>
      </w:r>
      <w:r>
        <w:rPr>
          <w:lang w:eastAsia="pl-PL"/>
        </w:rPr>
        <w:t xml:space="preserve">). Plate values can be either modified in the edit box or discarded from further analysis using the </w:t>
      </w:r>
      <w:r>
        <w:rPr>
          <w:b/>
          <w:bCs/>
          <w:lang w:eastAsia="pl-PL"/>
        </w:rPr>
        <w:t>Discard this value from analysis</w:t>
      </w:r>
      <w:r>
        <w:rPr>
          <w:lang w:eastAsia="pl-PL"/>
        </w:rPr>
        <w:t xml:space="preserve"> check box.</w:t>
      </w:r>
      <w:r w:rsidR="00540E92">
        <w:rPr>
          <w:lang w:eastAsia="pl-PL"/>
        </w:rPr>
        <w:t xml:space="preserve"> </w:t>
      </w:r>
      <w:r w:rsidR="0021123D">
        <w:rPr>
          <w:lang w:eastAsia="pl-PL"/>
        </w:rPr>
        <w:t>N</w:t>
      </w:r>
      <w:r w:rsidR="00540E92">
        <w:rPr>
          <w:lang w:eastAsia="pl-PL"/>
        </w:rPr>
        <w:t>ote</w:t>
      </w:r>
      <w:r>
        <w:rPr>
          <w:lang w:eastAsia="pl-PL"/>
        </w:rPr>
        <w:t xml:space="preserve"> that </w:t>
      </w:r>
      <w:r w:rsidR="00540E92">
        <w:rPr>
          <w:lang w:eastAsia="pl-PL"/>
        </w:rPr>
        <w:t xml:space="preserve">the </w:t>
      </w:r>
      <w:r>
        <w:rPr>
          <w:lang w:eastAsia="pl-PL"/>
        </w:rPr>
        <w:t>cell will be either highlighted in pink or struck out if its value was changed or discarded, respectively (</w:t>
      </w:r>
      <w:r>
        <w:rPr>
          <w:b/>
          <w:bCs/>
          <w:lang w:eastAsia="pl-PL"/>
        </w:rPr>
        <w:t>Figure 5</w:t>
      </w:r>
      <w:r>
        <w:rPr>
          <w:lang w:eastAsia="pl-PL"/>
        </w:rPr>
        <w:t>). Such modified or discarded values will be also marked in the final report printed by the software after analysis.</w:t>
      </w:r>
    </w:p>
    <w:p w:rsidR="008B643A" w:rsidRDefault="008B643A">
      <w:pPr>
        <w:pStyle w:val="Tekstpodstawowy3"/>
        <w:autoSpaceDE/>
        <w:rPr>
          <w:lang w:eastAsia="pl-PL"/>
        </w:rPr>
      </w:pPr>
    </w:p>
    <w:p w:rsidR="008B643A" w:rsidRDefault="00BA0688" w:rsidP="00BA0688">
      <w:pPr>
        <w:pStyle w:val="Tekstpodstawowy3"/>
        <w:autoSpaceDE/>
        <w:jc w:val="center"/>
        <w:rPr>
          <w:i/>
          <w:iCs/>
          <w:sz w:val="22"/>
          <w:szCs w:val="22"/>
          <w:lang w:eastAsia="pl-PL"/>
        </w:rPr>
      </w:pPr>
      <w:r>
        <w:rPr>
          <w:i/>
          <w:iCs/>
          <w:noProof/>
          <w:sz w:val="22"/>
          <w:szCs w:val="22"/>
          <w:lang w:val="ru-RU" w:eastAsia="ru-RU"/>
        </w:rPr>
        <w:drawing>
          <wp:inline distT="0" distB="0" distL="0" distR="0">
            <wp:extent cx="2076740" cy="1476581"/>
            <wp:effectExtent l="19050" t="0" r="0" b="0"/>
            <wp:docPr id="13" name="Рисунок 12" descr="Edit_d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it_data.png"/>
                    <pic:cNvPicPr/>
                  </pic:nvPicPr>
                  <pic:blipFill>
                    <a:blip r:embed="rId15" cstate="print"/>
                    <a:stretch>
                      <a:fillRect/>
                    </a:stretch>
                  </pic:blipFill>
                  <pic:spPr>
                    <a:xfrm>
                      <a:off x="0" y="0"/>
                      <a:ext cx="2076740" cy="1476581"/>
                    </a:xfrm>
                    <a:prstGeom prst="rect">
                      <a:avLst/>
                    </a:prstGeom>
                  </pic:spPr>
                </pic:pic>
              </a:graphicData>
            </a:graphic>
          </wp:inline>
        </w:drawing>
      </w:r>
    </w:p>
    <w:p w:rsidR="00BA0688" w:rsidRDefault="00BA0688">
      <w:pPr>
        <w:pStyle w:val="Tekstpodstawowy3"/>
        <w:autoSpaceDE/>
        <w:rPr>
          <w:b/>
          <w:bCs/>
          <w:i/>
          <w:iCs/>
          <w:sz w:val="22"/>
          <w:szCs w:val="22"/>
          <w:lang w:eastAsia="pl-PL"/>
        </w:rPr>
      </w:pPr>
    </w:p>
    <w:p w:rsidR="008B643A" w:rsidRDefault="00204C39">
      <w:pPr>
        <w:pStyle w:val="Tekstpodstawowy3"/>
        <w:autoSpaceDE/>
        <w:rPr>
          <w:i/>
          <w:iCs/>
          <w:sz w:val="22"/>
          <w:szCs w:val="22"/>
          <w:lang w:eastAsia="pl-PL"/>
        </w:rPr>
      </w:pPr>
      <w:r>
        <w:rPr>
          <w:b/>
          <w:bCs/>
          <w:i/>
          <w:iCs/>
          <w:sz w:val="22"/>
          <w:szCs w:val="22"/>
          <w:lang w:eastAsia="pl-PL"/>
        </w:rPr>
        <w:t>Figure 4</w:t>
      </w:r>
      <w:r>
        <w:rPr>
          <w:i/>
          <w:iCs/>
          <w:sz w:val="22"/>
          <w:szCs w:val="22"/>
          <w:lang w:eastAsia="pl-PL"/>
        </w:rPr>
        <w:t>. Window for modifying the data or discarding it from further analysis.</w:t>
      </w:r>
    </w:p>
    <w:p w:rsidR="008B643A" w:rsidRDefault="008B643A">
      <w:pPr>
        <w:pStyle w:val="Tekstpodstawowy3"/>
        <w:autoSpaceDE/>
        <w:rPr>
          <w:i/>
          <w:iCs/>
          <w:sz w:val="22"/>
          <w:szCs w:val="22"/>
          <w:lang w:eastAsia="pl-PL"/>
        </w:rPr>
      </w:pPr>
    </w:p>
    <w:p w:rsidR="008B643A" w:rsidRDefault="00BA0688" w:rsidP="00BA0688">
      <w:pPr>
        <w:pStyle w:val="Tekstpodstawowy3"/>
        <w:autoSpaceDE/>
        <w:jc w:val="center"/>
        <w:rPr>
          <w:i/>
          <w:iCs/>
          <w:sz w:val="22"/>
          <w:szCs w:val="22"/>
          <w:lang w:eastAsia="pl-PL"/>
        </w:rPr>
      </w:pPr>
      <w:r>
        <w:rPr>
          <w:i/>
          <w:iCs/>
          <w:noProof/>
          <w:sz w:val="22"/>
          <w:szCs w:val="22"/>
          <w:lang w:val="ru-RU" w:eastAsia="ru-RU"/>
        </w:rPr>
        <w:drawing>
          <wp:inline distT="0" distB="0" distL="0" distR="0">
            <wp:extent cx="1724266" cy="1047896"/>
            <wp:effectExtent l="19050" t="0" r="9284" b="0"/>
            <wp:docPr id="14" name="Рисунок 13" descr="Modified_d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ified_data.png"/>
                    <pic:cNvPicPr/>
                  </pic:nvPicPr>
                  <pic:blipFill>
                    <a:blip r:embed="rId16" cstate="print"/>
                    <a:stretch>
                      <a:fillRect/>
                    </a:stretch>
                  </pic:blipFill>
                  <pic:spPr>
                    <a:xfrm>
                      <a:off x="0" y="0"/>
                      <a:ext cx="1724266" cy="1047896"/>
                    </a:xfrm>
                    <a:prstGeom prst="rect">
                      <a:avLst/>
                    </a:prstGeom>
                  </pic:spPr>
                </pic:pic>
              </a:graphicData>
            </a:graphic>
          </wp:inline>
        </w:drawing>
      </w:r>
    </w:p>
    <w:p w:rsidR="008B643A" w:rsidRPr="000A4C03" w:rsidRDefault="008B643A">
      <w:pPr>
        <w:pStyle w:val="TableContents"/>
        <w:ind w:left="-15" w:right="-1"/>
        <w:jc w:val="both"/>
        <w:rPr>
          <w:i/>
          <w:iCs/>
          <w:sz w:val="22"/>
          <w:szCs w:val="22"/>
          <w:lang w:val="en-US"/>
        </w:rPr>
      </w:pPr>
    </w:p>
    <w:p w:rsidR="008B643A" w:rsidRDefault="00204C39">
      <w:pPr>
        <w:pStyle w:val="TableContents"/>
        <w:spacing w:before="57"/>
        <w:ind w:right="-1"/>
        <w:jc w:val="both"/>
        <w:rPr>
          <w:i/>
          <w:iCs/>
          <w:sz w:val="22"/>
          <w:szCs w:val="22"/>
          <w:lang w:val="en-US" w:eastAsia="pl-PL"/>
        </w:rPr>
      </w:pPr>
      <w:r>
        <w:rPr>
          <w:b/>
          <w:bCs/>
          <w:i/>
          <w:iCs/>
          <w:sz w:val="22"/>
          <w:szCs w:val="22"/>
          <w:lang w:val="en-US" w:eastAsia="pl-PL"/>
        </w:rPr>
        <w:t>Figure 5</w:t>
      </w:r>
      <w:r>
        <w:rPr>
          <w:i/>
          <w:iCs/>
          <w:sz w:val="22"/>
          <w:szCs w:val="22"/>
          <w:lang w:val="en-US" w:eastAsia="pl-PL"/>
        </w:rPr>
        <w:t>. Example of modified (</w:t>
      </w:r>
      <w:r>
        <w:rPr>
          <w:b/>
          <w:bCs/>
          <w:i/>
          <w:iCs/>
          <w:sz w:val="22"/>
          <w:szCs w:val="22"/>
          <w:lang w:val="en-US" w:eastAsia="pl-PL"/>
        </w:rPr>
        <w:t>B2</w:t>
      </w:r>
      <w:r>
        <w:rPr>
          <w:i/>
          <w:iCs/>
          <w:sz w:val="22"/>
          <w:szCs w:val="22"/>
          <w:lang w:val="en-US" w:eastAsia="pl-PL"/>
        </w:rPr>
        <w:t>) or discarded (</w:t>
      </w:r>
      <w:r>
        <w:rPr>
          <w:b/>
          <w:bCs/>
          <w:i/>
          <w:iCs/>
          <w:sz w:val="22"/>
          <w:szCs w:val="22"/>
          <w:lang w:val="en-US" w:eastAsia="pl-PL"/>
        </w:rPr>
        <w:t>C3</w:t>
      </w:r>
      <w:r>
        <w:rPr>
          <w:i/>
          <w:iCs/>
          <w:sz w:val="22"/>
          <w:szCs w:val="22"/>
          <w:lang w:val="en-US" w:eastAsia="pl-PL"/>
        </w:rPr>
        <w:t xml:space="preserve">) values in the plate table of the main </w:t>
      </w:r>
      <w:proofErr w:type="spellStart"/>
      <w:r>
        <w:rPr>
          <w:i/>
          <w:iCs/>
          <w:sz w:val="22"/>
          <w:szCs w:val="22"/>
          <w:lang w:val="en-US" w:eastAsia="pl-PL"/>
        </w:rPr>
        <w:t>Cheburator</w:t>
      </w:r>
      <w:proofErr w:type="spellEnd"/>
      <w:r>
        <w:rPr>
          <w:i/>
          <w:iCs/>
          <w:sz w:val="22"/>
          <w:szCs w:val="22"/>
          <w:lang w:val="en-US" w:eastAsia="pl-PL"/>
        </w:rPr>
        <w:t xml:space="preserve"> window.</w:t>
      </w:r>
    </w:p>
    <w:p w:rsidR="008B643A" w:rsidRDefault="008B643A">
      <w:pPr>
        <w:pStyle w:val="Tekstpodstawowy3"/>
        <w:autoSpaceDE/>
      </w:pPr>
    </w:p>
    <w:p w:rsidR="00710736" w:rsidRPr="00710736" w:rsidRDefault="00710736" w:rsidP="00710736">
      <w:pPr>
        <w:pStyle w:val="Heading21"/>
        <w:pageBreakBefore/>
        <w:spacing w:before="0"/>
        <w:rPr>
          <w:rFonts w:ascii="Times New Roman" w:hAnsi="Times New Roman" w:cs="Times New Roman"/>
          <w:color w:val="000080"/>
          <w:sz w:val="24"/>
          <w:szCs w:val="24"/>
          <w:lang w:val="en-US"/>
        </w:rPr>
      </w:pPr>
      <w:bookmarkStart w:id="7" w:name="_Toc388197851"/>
      <w:r w:rsidRPr="00710736">
        <w:rPr>
          <w:rFonts w:ascii="Times New Roman" w:hAnsi="Times New Roman" w:cs="Times New Roman"/>
          <w:color w:val="000080"/>
          <w:sz w:val="24"/>
          <w:szCs w:val="24"/>
          <w:lang w:val="en-US"/>
        </w:rPr>
        <w:lastRenderedPageBreak/>
        <w:t>3.</w:t>
      </w:r>
      <w:r>
        <w:rPr>
          <w:rFonts w:ascii="Times New Roman" w:hAnsi="Times New Roman" w:cs="Times New Roman"/>
          <w:color w:val="000080"/>
          <w:sz w:val="24"/>
          <w:szCs w:val="24"/>
          <w:lang w:val="en-US"/>
        </w:rPr>
        <w:t>4</w:t>
      </w:r>
      <w:r w:rsidRPr="00710736">
        <w:rPr>
          <w:rFonts w:ascii="Times New Roman" w:hAnsi="Times New Roman" w:cs="Times New Roman"/>
          <w:color w:val="000080"/>
          <w:sz w:val="24"/>
          <w:szCs w:val="24"/>
          <w:lang w:val="en-US"/>
        </w:rPr>
        <w:t>. Absolute and relative IC</w:t>
      </w:r>
      <w:r w:rsidRPr="00710736">
        <w:rPr>
          <w:rFonts w:ascii="Times New Roman" w:hAnsi="Times New Roman" w:cs="Times New Roman"/>
          <w:color w:val="000080"/>
          <w:sz w:val="24"/>
          <w:szCs w:val="24"/>
          <w:vertAlign w:val="subscript"/>
          <w:lang w:val="en-US"/>
        </w:rPr>
        <w:t>50</w:t>
      </w:r>
      <w:r w:rsidRPr="00710736">
        <w:rPr>
          <w:rFonts w:ascii="Times New Roman" w:hAnsi="Times New Roman" w:cs="Times New Roman"/>
          <w:color w:val="000080"/>
          <w:sz w:val="24"/>
          <w:szCs w:val="24"/>
          <w:lang w:val="en-US"/>
        </w:rPr>
        <w:t xml:space="preserve"> values</w:t>
      </w:r>
      <w:bookmarkEnd w:id="7"/>
    </w:p>
    <w:p w:rsidR="00710736" w:rsidRDefault="00710736" w:rsidP="00710736">
      <w:pPr>
        <w:pStyle w:val="Textbody"/>
        <w:spacing w:after="0"/>
        <w:rPr>
          <w:lang w:val="en-US" w:eastAsia="pl-PL"/>
        </w:rPr>
      </w:pPr>
    </w:p>
    <w:p w:rsidR="00710736" w:rsidRPr="00B404B3" w:rsidRDefault="00B404B3" w:rsidP="00710736">
      <w:pPr>
        <w:pStyle w:val="Tekstpodstawowy3"/>
        <w:autoSpaceDE/>
        <w:rPr>
          <w:rFonts w:cs="Times New Roman"/>
          <w:lang w:val="en-GB" w:eastAsia="pl-PL"/>
        </w:rPr>
      </w:pPr>
      <w:r w:rsidRPr="00B404B3">
        <w:rPr>
          <w:rFonts w:cs="Times New Roman"/>
          <w:lang w:val="en-GB" w:eastAsia="pl-PL"/>
        </w:rPr>
        <w:tab/>
        <w:t>Depending on the option selected in the program (</w:t>
      </w:r>
      <w:r w:rsidRPr="00B404B3">
        <w:rPr>
          <w:rFonts w:cs="Times New Roman"/>
          <w:b/>
          <w:lang w:val="en-GB" w:eastAsia="pl-PL"/>
        </w:rPr>
        <w:t>Options</w:t>
      </w:r>
      <w:r w:rsidRPr="00B404B3">
        <w:rPr>
          <w:rFonts w:cs="Times New Roman"/>
          <w:lang w:val="en-GB" w:eastAsia="pl-PL"/>
        </w:rPr>
        <w:t xml:space="preserve"> </w:t>
      </w:r>
      <w:r>
        <w:rPr>
          <w:rFonts w:cs="Times New Roman"/>
          <w:lang w:val="en-GB" w:eastAsia="pl-PL"/>
        </w:rPr>
        <w:t>page</w:t>
      </w:r>
      <w:r w:rsidRPr="00B404B3">
        <w:rPr>
          <w:rFonts w:cs="Times New Roman"/>
          <w:lang w:val="en-GB" w:eastAsia="pl-PL"/>
        </w:rPr>
        <w:t xml:space="preserve">, please see below), </w:t>
      </w:r>
      <w:proofErr w:type="spellStart"/>
      <w:r w:rsidRPr="00B404B3">
        <w:rPr>
          <w:rFonts w:cs="Times New Roman"/>
          <w:lang w:val="en-GB" w:eastAsia="pl-PL"/>
        </w:rPr>
        <w:t>Cheburator</w:t>
      </w:r>
      <w:proofErr w:type="spellEnd"/>
      <w:r w:rsidRPr="00B404B3">
        <w:rPr>
          <w:rFonts w:cs="Times New Roman"/>
          <w:lang w:val="en-GB" w:eastAsia="pl-PL"/>
        </w:rPr>
        <w:t xml:space="preserve"> can estimate both absolute and relative IC</w:t>
      </w:r>
      <w:r w:rsidRPr="00B404B3">
        <w:rPr>
          <w:rFonts w:cs="Times New Roman"/>
          <w:vertAlign w:val="subscript"/>
          <w:lang w:val="en-GB" w:eastAsia="pl-PL"/>
        </w:rPr>
        <w:t>50</w:t>
      </w:r>
      <w:r w:rsidRPr="00B404B3">
        <w:rPr>
          <w:rFonts w:cs="Times New Roman"/>
          <w:lang w:val="en-GB" w:eastAsia="pl-PL"/>
        </w:rPr>
        <w:t xml:space="preserve"> values. To understand the difference between the two definitions of IC</w:t>
      </w:r>
      <w:r w:rsidRPr="00B404B3">
        <w:rPr>
          <w:rFonts w:cs="Times New Roman"/>
          <w:vertAlign w:val="subscript"/>
          <w:lang w:val="en-GB" w:eastAsia="pl-PL"/>
        </w:rPr>
        <w:t>50</w:t>
      </w:r>
      <w:r w:rsidRPr="00B404B3">
        <w:rPr>
          <w:rFonts w:cs="Times New Roman"/>
          <w:lang w:val="en-GB" w:eastAsia="pl-PL"/>
        </w:rPr>
        <w:t>, let us consider a theoretical dose-response curve where concentration of the studied compound is shown on the abscissa axis and percent of inhibition is shown on ordinate axis (</w:t>
      </w:r>
      <w:r w:rsidRPr="00B404B3">
        <w:rPr>
          <w:rFonts w:cs="Times New Roman"/>
          <w:b/>
          <w:lang w:val="en-GB" w:eastAsia="pl-PL"/>
        </w:rPr>
        <w:t xml:space="preserve">Figure </w:t>
      </w:r>
      <w:r>
        <w:rPr>
          <w:rFonts w:cs="Times New Roman"/>
          <w:b/>
          <w:lang w:val="en-GB" w:eastAsia="pl-PL"/>
        </w:rPr>
        <w:t>6A</w:t>
      </w:r>
      <w:r w:rsidRPr="00B404B3">
        <w:rPr>
          <w:rFonts w:cs="Times New Roman"/>
          <w:lang w:val="en-GB" w:eastAsia="pl-PL"/>
        </w:rPr>
        <w:t xml:space="preserve">). The minimum effect is defined as 0% - complete uninhibited growth of the untreated cells without addition of a studied compound. The maximum inhibition effect achievable and measurable in the assay is 100% - complete inhibition of the cell growth (solid pink line in </w:t>
      </w:r>
      <w:r w:rsidRPr="00B404B3">
        <w:rPr>
          <w:rFonts w:cs="Times New Roman"/>
          <w:b/>
          <w:lang w:val="en-GB" w:eastAsia="pl-PL"/>
        </w:rPr>
        <w:t xml:space="preserve">Figure </w:t>
      </w:r>
      <w:r>
        <w:rPr>
          <w:rFonts w:cs="Times New Roman"/>
          <w:b/>
          <w:lang w:val="en-GB" w:eastAsia="pl-PL"/>
        </w:rPr>
        <w:t>6</w:t>
      </w:r>
      <w:r w:rsidRPr="00B404B3">
        <w:rPr>
          <w:rFonts w:cs="Times New Roman"/>
          <w:b/>
          <w:lang w:val="en-GB" w:eastAsia="pl-PL"/>
        </w:rPr>
        <w:t>A</w:t>
      </w:r>
      <w:r w:rsidRPr="00B404B3">
        <w:rPr>
          <w:rFonts w:cs="Times New Roman"/>
          <w:lang w:val="en-GB" w:eastAsia="pl-PL"/>
        </w:rPr>
        <w:t>) due to the effect of a studied compound. In this case, absolute IC</w:t>
      </w:r>
      <w:r w:rsidRPr="00B404B3">
        <w:rPr>
          <w:rFonts w:cs="Times New Roman"/>
          <w:vertAlign w:val="subscript"/>
          <w:lang w:val="en-GB" w:eastAsia="pl-PL"/>
        </w:rPr>
        <w:t>50</w:t>
      </w:r>
      <w:r w:rsidRPr="00B404B3">
        <w:rPr>
          <w:rFonts w:cs="Times New Roman"/>
          <w:lang w:val="en-GB" w:eastAsia="pl-PL"/>
        </w:rPr>
        <w:t xml:space="preserve"> is defined as a concentration of studied compound which results in exactly 50% of the maximum inhibition effect achievable in assay (dashed pink line in </w:t>
      </w:r>
      <w:r w:rsidRPr="00B404B3">
        <w:rPr>
          <w:rFonts w:cs="Times New Roman"/>
          <w:b/>
          <w:lang w:val="en-GB" w:eastAsia="pl-PL"/>
        </w:rPr>
        <w:t xml:space="preserve">Figure </w:t>
      </w:r>
      <w:r>
        <w:rPr>
          <w:rFonts w:cs="Times New Roman"/>
          <w:b/>
          <w:lang w:val="en-GB" w:eastAsia="pl-PL"/>
        </w:rPr>
        <w:t>6</w:t>
      </w:r>
      <w:r w:rsidRPr="00B404B3">
        <w:rPr>
          <w:rFonts w:cs="Times New Roman"/>
          <w:b/>
          <w:lang w:val="en-GB" w:eastAsia="pl-PL"/>
        </w:rPr>
        <w:t>A</w:t>
      </w:r>
      <w:r w:rsidRPr="00B404B3">
        <w:rPr>
          <w:rFonts w:cs="Times New Roman"/>
          <w:lang w:val="en-GB" w:eastAsia="pl-PL"/>
        </w:rPr>
        <w:t xml:space="preserve">). In practice, even the high concentration of very potent </w:t>
      </w:r>
      <w:proofErr w:type="spellStart"/>
      <w:r w:rsidRPr="00B404B3">
        <w:rPr>
          <w:rFonts w:cs="Times New Roman"/>
          <w:lang w:val="en-GB" w:eastAsia="pl-PL"/>
        </w:rPr>
        <w:t>cytotoxic</w:t>
      </w:r>
      <w:proofErr w:type="spellEnd"/>
      <w:r w:rsidRPr="00B404B3">
        <w:rPr>
          <w:rFonts w:cs="Times New Roman"/>
          <w:lang w:val="en-GB" w:eastAsia="pl-PL"/>
        </w:rPr>
        <w:t xml:space="preserve"> compounds rarely result in 100% inhibition of the cell population. Each drug has a maximum attainable inhibition effect which manifests in an upper plateau of the dose-response curve (solid orange line in </w:t>
      </w:r>
      <w:r w:rsidRPr="00B404B3">
        <w:rPr>
          <w:rFonts w:cs="Times New Roman"/>
          <w:b/>
          <w:lang w:val="en-GB" w:eastAsia="pl-PL"/>
        </w:rPr>
        <w:t xml:space="preserve">Figure </w:t>
      </w:r>
      <w:r>
        <w:rPr>
          <w:rFonts w:cs="Times New Roman"/>
          <w:b/>
          <w:lang w:val="en-GB" w:eastAsia="pl-PL"/>
        </w:rPr>
        <w:t>6</w:t>
      </w:r>
      <w:r w:rsidRPr="00B404B3">
        <w:rPr>
          <w:rFonts w:cs="Times New Roman"/>
          <w:b/>
          <w:lang w:val="en-GB" w:eastAsia="pl-PL"/>
        </w:rPr>
        <w:t>A</w:t>
      </w:r>
      <w:r w:rsidRPr="00B404B3">
        <w:rPr>
          <w:rFonts w:cs="Times New Roman"/>
          <w:lang w:val="en-GB" w:eastAsia="pl-PL"/>
        </w:rPr>
        <w:t>). Relative IC</w:t>
      </w:r>
      <w:r w:rsidRPr="00B404B3">
        <w:rPr>
          <w:rFonts w:cs="Times New Roman"/>
          <w:vertAlign w:val="subscript"/>
          <w:lang w:val="en-GB" w:eastAsia="pl-PL"/>
        </w:rPr>
        <w:t>50</w:t>
      </w:r>
      <w:r w:rsidRPr="00B404B3">
        <w:rPr>
          <w:rFonts w:cs="Times New Roman"/>
          <w:lang w:val="en-GB" w:eastAsia="pl-PL"/>
        </w:rPr>
        <w:t xml:space="preserve"> is defined as the concentration of studied compound which results in exactly half of the maximum inhibition effect attainable for that particular compound (dashed orange line).</w:t>
      </w:r>
    </w:p>
    <w:p w:rsidR="00B404B3" w:rsidRDefault="00B404B3" w:rsidP="00710736">
      <w:pPr>
        <w:pStyle w:val="Tekstpodstawowy3"/>
        <w:autoSpaceDE/>
        <w:rPr>
          <w:lang w:eastAsia="pl-PL"/>
        </w:rPr>
      </w:pPr>
    </w:p>
    <w:p w:rsidR="008B643A" w:rsidRPr="00710736" w:rsidRDefault="00204C39" w:rsidP="00710736">
      <w:pPr>
        <w:pStyle w:val="Tekstpodstawowy3"/>
        <w:autoSpaceDE/>
        <w:rPr>
          <w:b/>
          <w:i/>
          <w:color w:val="000080"/>
        </w:rPr>
      </w:pPr>
      <w:r w:rsidRPr="00710736">
        <w:rPr>
          <w:b/>
          <w:i/>
          <w:color w:val="000080"/>
        </w:rPr>
        <w:t>3.</w:t>
      </w:r>
      <w:r w:rsidR="00710736">
        <w:rPr>
          <w:b/>
          <w:i/>
          <w:color w:val="000080"/>
        </w:rPr>
        <w:t>5</w:t>
      </w:r>
      <w:r w:rsidRPr="00710736">
        <w:rPr>
          <w:b/>
          <w:i/>
          <w:color w:val="000080"/>
        </w:rPr>
        <w:t xml:space="preserve">. </w:t>
      </w:r>
      <w:r w:rsidR="005C7D58" w:rsidRPr="005C7D58">
        <w:rPr>
          <w:b/>
          <w:i/>
          <w:color w:val="000080"/>
        </w:rPr>
        <w:t>Data analysis and the selection of the method</w:t>
      </w:r>
    </w:p>
    <w:p w:rsidR="008B643A" w:rsidRDefault="008B643A">
      <w:pPr>
        <w:pStyle w:val="Textbody"/>
        <w:spacing w:after="0"/>
        <w:rPr>
          <w:lang w:val="en-US" w:eastAsia="pl-PL"/>
        </w:rPr>
      </w:pPr>
    </w:p>
    <w:p w:rsidR="008B643A" w:rsidRDefault="00204C39">
      <w:pPr>
        <w:pStyle w:val="Tekstpodstawowy3"/>
        <w:autoSpaceDE/>
      </w:pPr>
      <w:r>
        <w:rPr>
          <w:lang w:eastAsia="pl-PL"/>
        </w:rPr>
        <w:tab/>
        <w:t>After specifying all relevant details for the test, the transformations of ordinate axis (inhibition of proliferation in percents) and abscissa axis (doses used in the test) have to be specified. By default, only the abscissa axis is logarithmically transformed and therefore the concentrations are represented on the decimal log scale, which is common practice in the dose-response assays</w:t>
      </w:r>
      <w:r>
        <w:rPr>
          <w:rStyle w:val="bibuscitbase"/>
          <w:lang w:eastAsia="pl-PL"/>
        </w:rPr>
        <w:t>4</w:t>
      </w:r>
      <w:r>
        <w:rPr>
          <w:lang w:eastAsia="pl-PL"/>
        </w:rPr>
        <w:t>. This often produces sigmoid-like dose-response curves. The final step before analysis is the selection of the method used for calculation of IC</w:t>
      </w:r>
      <w:r>
        <w:rPr>
          <w:vertAlign w:val="subscript"/>
          <w:lang w:eastAsia="pl-PL"/>
        </w:rPr>
        <w:t>50</w:t>
      </w:r>
      <w:r>
        <w:rPr>
          <w:lang w:eastAsia="pl-PL"/>
        </w:rPr>
        <w:t xml:space="preserve"> in the </w:t>
      </w:r>
      <w:r>
        <w:rPr>
          <w:b/>
          <w:bCs/>
          <w:lang w:eastAsia="pl-PL"/>
        </w:rPr>
        <w:t>Calculation method and options</w:t>
      </w:r>
      <w:r>
        <w:rPr>
          <w:lang w:eastAsia="pl-PL"/>
        </w:rPr>
        <w:t xml:space="preserve"> box. </w:t>
      </w:r>
      <w:proofErr w:type="spellStart"/>
      <w:r>
        <w:rPr>
          <w:lang w:eastAsia="pl-PL"/>
        </w:rPr>
        <w:t>Cheburator</w:t>
      </w:r>
      <w:proofErr w:type="spellEnd"/>
      <w:r>
        <w:rPr>
          <w:lang w:eastAsia="pl-PL"/>
        </w:rPr>
        <w:t xml:space="preserve"> supports </w:t>
      </w:r>
      <w:r w:rsidR="007331D8">
        <w:rPr>
          <w:lang w:eastAsia="pl-PL"/>
        </w:rPr>
        <w:t>three</w:t>
      </w:r>
      <w:r>
        <w:rPr>
          <w:lang w:eastAsia="pl-PL"/>
        </w:rPr>
        <w:t xml:space="preserve"> methods, a simple two-point method previously described by </w:t>
      </w:r>
      <w:r>
        <w:rPr>
          <w:i/>
          <w:iCs/>
          <w:lang w:eastAsia="pl-PL"/>
        </w:rPr>
        <w:t>Reed and Muench</w:t>
      </w:r>
      <w:r>
        <w:rPr>
          <w:rStyle w:val="bibuscitbase"/>
          <w:i/>
          <w:iCs/>
          <w:lang w:eastAsia="pl-PL"/>
        </w:rPr>
        <w:t>5</w:t>
      </w:r>
      <w:r w:rsidR="007331D8">
        <w:rPr>
          <w:lang w:eastAsia="pl-PL"/>
        </w:rPr>
        <w:t xml:space="preserve">, </w:t>
      </w:r>
      <w:r w:rsidR="0021123D">
        <w:rPr>
          <w:lang w:eastAsia="pl-PL"/>
        </w:rPr>
        <w:t xml:space="preserve">a </w:t>
      </w:r>
      <w:r>
        <w:rPr>
          <w:lang w:eastAsia="pl-PL"/>
        </w:rPr>
        <w:t>linear regression method</w:t>
      </w:r>
      <w:r w:rsidR="007331D8">
        <w:rPr>
          <w:lang w:eastAsia="pl-PL"/>
        </w:rPr>
        <w:t>,</w:t>
      </w:r>
      <w:r>
        <w:rPr>
          <w:lang w:eastAsia="pl-PL"/>
        </w:rPr>
        <w:t xml:space="preserve"> </w:t>
      </w:r>
      <w:r w:rsidR="007331D8">
        <w:rPr>
          <w:lang w:eastAsia="pl-PL"/>
        </w:rPr>
        <w:t xml:space="preserve">and a nonlinear regression method </w:t>
      </w:r>
      <w:r>
        <w:rPr>
          <w:lang w:eastAsia="pl-PL"/>
        </w:rPr>
        <w:t xml:space="preserve">which </w:t>
      </w:r>
      <w:r w:rsidR="007331D8">
        <w:rPr>
          <w:lang w:eastAsia="pl-PL"/>
        </w:rPr>
        <w:t>are</w:t>
      </w:r>
      <w:r>
        <w:rPr>
          <w:lang w:eastAsia="pl-PL"/>
        </w:rPr>
        <w:t xml:space="preserve"> </w:t>
      </w:r>
      <w:r w:rsidR="00B404B3">
        <w:rPr>
          <w:lang w:eastAsia="pl-PL"/>
        </w:rPr>
        <w:t xml:space="preserve">all </w:t>
      </w:r>
      <w:r>
        <w:rPr>
          <w:lang w:eastAsia="pl-PL"/>
        </w:rPr>
        <w:t>described below.</w:t>
      </w:r>
    </w:p>
    <w:p w:rsidR="008B643A" w:rsidRDefault="00204C39">
      <w:pPr>
        <w:pStyle w:val="Tekstpodstawowy3"/>
        <w:autoSpaceDE/>
        <w:spacing w:after="113"/>
      </w:pPr>
      <w:r>
        <w:rPr>
          <w:lang w:eastAsia="pl-PL"/>
        </w:rPr>
        <w:tab/>
        <w:t xml:space="preserve">After pressing the </w:t>
      </w:r>
      <w:r>
        <w:rPr>
          <w:b/>
          <w:bCs/>
          <w:lang w:eastAsia="pl-PL"/>
        </w:rPr>
        <w:t>Calculate</w:t>
      </w:r>
      <w:r>
        <w:rPr>
          <w:lang w:eastAsia="pl-PL"/>
        </w:rPr>
        <w:t xml:space="preserve"> button, the mean and standard deviations (SD) of absorbance values are calculated for each triplicate scheduled for analysis. </w:t>
      </w:r>
      <w:r>
        <w:t>Absorbance</w:t>
      </w:r>
      <w:r w:rsidR="001B4E49">
        <w:t xml:space="preserve"> values</w:t>
      </w:r>
      <w:r>
        <w:t xml:space="preserve"> read for each cell well on the plate are proportional to the amount of the protein or to the mitochondrial activity of live cells in it, depending on the type of test used in the assay (SRB or MTT, respectively). Therefore</w:t>
      </w:r>
      <w:r w:rsidR="0021123D">
        <w:t>,</w:t>
      </w:r>
      <w:r>
        <w:t xml:space="preserve"> it can be used for evaluation of the cell proliferation. </w:t>
      </w:r>
      <w:r>
        <w:rPr>
          <w:lang w:eastAsia="pl-PL"/>
        </w:rPr>
        <w:t>Then, the percent</w:t>
      </w:r>
      <w:r w:rsidR="0021123D">
        <w:rPr>
          <w:lang w:eastAsia="pl-PL"/>
        </w:rPr>
        <w:t>age of</w:t>
      </w:r>
      <w:r>
        <w:rPr>
          <w:lang w:eastAsia="pl-PL"/>
        </w:rPr>
        <w:t xml:space="preserve"> inhibition of cell proliferation by the tested compounds in each triplicate relative to untreated cells </w:t>
      </w:r>
      <w:r w:rsidR="0021123D">
        <w:rPr>
          <w:lang w:eastAsia="pl-PL"/>
        </w:rPr>
        <w:t>is</w:t>
      </w:r>
      <w:r>
        <w:rPr>
          <w:lang w:eastAsia="pl-PL"/>
        </w:rPr>
        <w:t xml:space="preserve"> calculated using the formula:</w:t>
      </w:r>
    </w:p>
    <w:tbl>
      <w:tblPr>
        <w:tblW w:w="9637" w:type="dxa"/>
        <w:tblInd w:w="45" w:type="dxa"/>
        <w:tblLayout w:type="fixed"/>
        <w:tblCellMar>
          <w:left w:w="10" w:type="dxa"/>
          <w:right w:w="10" w:type="dxa"/>
        </w:tblCellMar>
        <w:tblLook w:val="0000"/>
      </w:tblPr>
      <w:tblGrid>
        <w:gridCol w:w="9208"/>
        <w:gridCol w:w="429"/>
      </w:tblGrid>
      <w:tr w:rsidR="008B643A" w:rsidTr="008B643A">
        <w:tc>
          <w:tcPr>
            <w:tcW w:w="9208" w:type="dxa"/>
            <w:tcMar>
              <w:top w:w="55" w:type="dxa"/>
              <w:left w:w="55" w:type="dxa"/>
              <w:bottom w:w="55" w:type="dxa"/>
              <w:right w:w="55" w:type="dxa"/>
            </w:tcMar>
          </w:tcPr>
          <w:p w:rsidR="008B643A" w:rsidRPr="000A4C03" w:rsidRDefault="00204C39">
            <w:pPr>
              <w:pStyle w:val="TableContents"/>
              <w:jc w:val="center"/>
              <w:rPr>
                <w:lang w:val="en-US"/>
              </w:rPr>
            </w:pPr>
            <w:r>
              <w:rPr>
                <w:lang w:val="en-US"/>
              </w:rPr>
              <w:t>inhibition of the proliferation (%)</w:t>
            </w:r>
            <w:r>
              <w:rPr>
                <w:sz w:val="28"/>
                <w:lang w:val="en-US"/>
              </w:rPr>
              <w:t xml:space="preserve"> </w:t>
            </w:r>
            <w:r w:rsidRPr="000A4C03">
              <w:rPr>
                <w:lang w:val="en-US"/>
              </w:rPr>
              <w:t xml:space="preserve"> = </w:t>
            </w:r>
            <m:oMath>
              <m:r>
                <w:rPr>
                  <w:rFonts w:ascii="Cambria Math" w:hAnsi="Cambria Math"/>
                  <w:lang w:val="en-US"/>
                </w:rPr>
                <m:t>100(</m:t>
              </m:r>
              <m:r>
                <m:rPr>
                  <m:nor/>
                </m:rPr>
                <w:rPr>
                  <w:lang w:val="en-US"/>
                </w:rPr>
                <m:t>%</m:t>
              </m:r>
              <m:r>
                <m:rPr>
                  <m:nor/>
                </m:rPr>
                <w:rPr>
                  <w:rFonts w:ascii="Cambria Math"/>
                  <w:lang w:val="en-US"/>
                </w:rPr>
                <m:t>)</m:t>
              </m:r>
              <m:r>
                <w:rPr>
                  <w:rFonts w:ascii="Cambria Math" w:hAnsi="Cambria Math"/>
                  <w:lang w:val="en-US"/>
                </w:rPr>
                <m:t>-((</m:t>
              </m:r>
              <m:f>
                <m:fPr>
                  <m:ctrlPr>
                    <w:rPr>
                      <w:rFonts w:ascii="Cambria Math" w:hAnsi="Cambria Math"/>
                    </w:rPr>
                  </m:ctrlPr>
                </m:fPr>
                <m:num>
                  <m:sSub>
                    <m:sSubPr>
                      <m:ctrlPr>
                        <w:rPr>
                          <w:rFonts w:ascii="Cambria Math" w:hAnsi="Cambria Math"/>
                        </w:rPr>
                      </m:ctrlPr>
                    </m:sSubPr>
                    <m:e>
                      <m:r>
                        <m:rPr>
                          <m:sty m:val="p"/>
                        </m:rPr>
                        <w:rPr>
                          <w:rFonts w:ascii="Cambria Math" w:hAnsi="Cambria Math"/>
                          <w:lang w:val="en-US"/>
                        </w:rPr>
                        <m:t>A</m:t>
                      </m:r>
                    </m:e>
                    <m:sub>
                      <m:r>
                        <m:rPr>
                          <m:sty m:val="p"/>
                        </m:rPr>
                        <w:rPr>
                          <w:rFonts w:ascii="Cambria Math" w:hAnsi="Cambria Math"/>
                          <w:lang w:val="en-US"/>
                        </w:rPr>
                        <m:t>p</m:t>
                      </m:r>
                    </m:sub>
                  </m:sSub>
                  <m:r>
                    <w:rPr>
                      <w:rFonts w:ascii="Cambria Math" w:hAnsi="Cambria Math"/>
                      <w:lang w:val="en-US"/>
                    </w:rPr>
                    <m:t>-</m:t>
                  </m:r>
                  <m:sSub>
                    <m:sSubPr>
                      <m:ctrlPr>
                        <w:rPr>
                          <w:rFonts w:ascii="Cambria Math" w:hAnsi="Cambria Math"/>
                        </w:rPr>
                      </m:ctrlPr>
                    </m:sSubPr>
                    <m:e>
                      <m:r>
                        <m:rPr>
                          <m:sty m:val="p"/>
                        </m:rPr>
                        <w:rPr>
                          <w:rFonts w:ascii="Cambria Math" w:hAnsi="Cambria Math"/>
                          <w:lang w:val="en-US"/>
                        </w:rPr>
                        <m:t>A</m:t>
                      </m:r>
                    </m:e>
                    <m:sub>
                      <m:r>
                        <m:rPr>
                          <m:sty m:val="p"/>
                        </m:rPr>
                        <w:rPr>
                          <w:rFonts w:ascii="Cambria Math" w:hAnsi="Cambria Math"/>
                          <w:lang w:val="en-US"/>
                        </w:rPr>
                        <m:t>cm</m:t>
                      </m:r>
                    </m:sub>
                  </m:sSub>
                </m:num>
                <m:den>
                  <m:sSub>
                    <m:sSubPr>
                      <m:ctrlPr>
                        <w:rPr>
                          <w:rFonts w:ascii="Cambria Math" w:hAnsi="Cambria Math"/>
                        </w:rPr>
                      </m:ctrlPr>
                    </m:sSubPr>
                    <m:e>
                      <m:r>
                        <m:rPr>
                          <m:sty m:val="p"/>
                        </m:rPr>
                        <w:rPr>
                          <w:rFonts w:ascii="Cambria Math" w:hAnsi="Cambria Math"/>
                          <w:lang w:val="en-US"/>
                        </w:rPr>
                        <m:t>A</m:t>
                      </m:r>
                    </m:e>
                    <m:sub>
                      <m:r>
                        <m:rPr>
                          <m:sty m:val="p"/>
                        </m:rPr>
                        <w:rPr>
                          <w:rFonts w:ascii="Cambria Math" w:hAnsi="Cambria Math"/>
                          <w:lang w:val="en-US"/>
                        </w:rPr>
                        <m:t>cc</m:t>
                      </m:r>
                    </m:sub>
                  </m:sSub>
                  <m:r>
                    <w:rPr>
                      <w:rFonts w:ascii="Cambria Math" w:hAnsi="Cambria Math"/>
                      <w:lang w:val="en-US"/>
                    </w:rPr>
                    <m:t>-</m:t>
                  </m:r>
                  <m:sSub>
                    <m:sSubPr>
                      <m:ctrlPr>
                        <w:rPr>
                          <w:rFonts w:ascii="Cambria Math" w:hAnsi="Cambria Math"/>
                        </w:rPr>
                      </m:ctrlPr>
                    </m:sSubPr>
                    <m:e>
                      <m:r>
                        <m:rPr>
                          <m:sty m:val="p"/>
                        </m:rPr>
                        <w:rPr>
                          <w:rFonts w:ascii="Cambria Math" w:hAnsi="Cambria Math"/>
                          <w:lang w:val="en-US"/>
                        </w:rPr>
                        <m:t>A</m:t>
                      </m:r>
                    </m:e>
                    <m:sub>
                      <m:r>
                        <m:rPr>
                          <m:sty m:val="p"/>
                        </m:rPr>
                        <w:rPr>
                          <w:rFonts w:ascii="Cambria Math" w:hAnsi="Cambria Math"/>
                          <w:lang w:val="en-US"/>
                        </w:rPr>
                        <m:t>cm</m:t>
                      </m:r>
                    </m:sub>
                  </m:sSub>
                </m:den>
              </m:f>
              <m:r>
                <w:rPr>
                  <w:rFonts w:ascii="Cambria Math" w:hAnsi="Cambria Math"/>
                  <w:lang w:val="en-US"/>
                </w:rPr>
                <m:t>)×100(</m:t>
              </m:r>
              <m:r>
                <m:rPr>
                  <m:nor/>
                </m:rPr>
                <w:rPr>
                  <w:lang w:val="en-US"/>
                </w:rPr>
                <m:t>%</m:t>
              </m:r>
              <m:r>
                <m:rPr>
                  <m:nor/>
                </m:rPr>
                <w:rPr>
                  <w:rFonts w:ascii="Cambria Math"/>
                  <w:lang w:val="en-US"/>
                </w:rPr>
                <m:t>)</m:t>
              </m:r>
              <m:r>
                <w:rPr>
                  <w:rFonts w:ascii="Cambria Math" w:hAnsi="Cambria Math"/>
                  <w:lang w:val="en-US"/>
                </w:rPr>
                <m:t>)</m:t>
              </m:r>
            </m:oMath>
          </w:p>
        </w:tc>
        <w:tc>
          <w:tcPr>
            <w:tcW w:w="429" w:type="dxa"/>
            <w:tcMar>
              <w:top w:w="55" w:type="dxa"/>
              <w:left w:w="55" w:type="dxa"/>
              <w:bottom w:w="55" w:type="dxa"/>
              <w:right w:w="55" w:type="dxa"/>
            </w:tcMar>
            <w:vAlign w:val="center"/>
          </w:tcPr>
          <w:p w:rsidR="008B643A" w:rsidRDefault="00204C39">
            <w:pPr>
              <w:pStyle w:val="TableContents"/>
              <w:jc w:val="right"/>
            </w:pPr>
            <w:r>
              <w:t>(1)</w:t>
            </w:r>
          </w:p>
        </w:tc>
      </w:tr>
    </w:tbl>
    <w:p w:rsidR="008B643A" w:rsidRDefault="00204C39">
      <w:pPr>
        <w:pStyle w:val="Tekstpodstawowy3"/>
        <w:autoSpaceDE/>
        <w:rPr>
          <w:sz w:val="22"/>
          <w:szCs w:val="22"/>
          <w:lang w:eastAsia="pl-PL"/>
        </w:rPr>
      </w:pPr>
      <w:r>
        <w:rPr>
          <w:sz w:val="22"/>
          <w:szCs w:val="22"/>
          <w:lang w:eastAsia="pl-PL"/>
        </w:rPr>
        <w:t>where:</w:t>
      </w:r>
    </w:p>
    <w:p w:rsidR="008B643A" w:rsidRDefault="00204C39">
      <w:pPr>
        <w:pStyle w:val="Textbody"/>
        <w:spacing w:after="0"/>
        <w:ind w:left="13"/>
        <w:rPr>
          <w:sz w:val="22"/>
          <w:szCs w:val="22"/>
          <w:lang w:val="en-US"/>
        </w:rPr>
      </w:pPr>
      <w:r>
        <w:rPr>
          <w:sz w:val="22"/>
          <w:szCs w:val="22"/>
          <w:lang w:val="en-US"/>
        </w:rPr>
        <w:t>A</w:t>
      </w:r>
      <w:r w:rsidRPr="008B643A">
        <w:rPr>
          <w:position w:val="-7"/>
          <w:sz w:val="22"/>
          <w:szCs w:val="22"/>
          <w:lang w:val="en-US"/>
        </w:rPr>
        <w:t>cm</w:t>
      </w:r>
      <w:r>
        <w:rPr>
          <w:sz w:val="22"/>
          <w:szCs w:val="22"/>
          <w:lang w:val="en-US"/>
        </w:rPr>
        <w:t>- mean background absorbance of wells without cells (control of the medium);</w:t>
      </w:r>
    </w:p>
    <w:p w:rsidR="008B643A" w:rsidRDefault="00204C39">
      <w:pPr>
        <w:pStyle w:val="Textbody"/>
        <w:spacing w:after="0"/>
        <w:ind w:left="13"/>
        <w:rPr>
          <w:sz w:val="22"/>
          <w:szCs w:val="22"/>
          <w:lang w:val="en-US"/>
        </w:rPr>
      </w:pPr>
      <w:r>
        <w:rPr>
          <w:sz w:val="22"/>
          <w:szCs w:val="22"/>
          <w:lang w:val="en-US"/>
        </w:rPr>
        <w:t>A</w:t>
      </w:r>
      <w:r w:rsidRPr="008B643A">
        <w:rPr>
          <w:position w:val="-7"/>
          <w:sz w:val="22"/>
          <w:szCs w:val="22"/>
          <w:lang w:val="en-US"/>
        </w:rPr>
        <w:t>cc</w:t>
      </w:r>
      <w:r>
        <w:rPr>
          <w:sz w:val="22"/>
          <w:szCs w:val="22"/>
          <w:lang w:val="en-US"/>
        </w:rPr>
        <w:t xml:space="preserve"> - mean absorbance in wells containing untreated cells (control of cells);</w:t>
      </w:r>
    </w:p>
    <w:p w:rsidR="008B643A" w:rsidRDefault="00204C39">
      <w:pPr>
        <w:pStyle w:val="Textbody"/>
        <w:spacing w:after="0"/>
        <w:ind w:left="13"/>
        <w:rPr>
          <w:sz w:val="22"/>
          <w:szCs w:val="22"/>
          <w:lang w:val="en-US"/>
        </w:rPr>
      </w:pPr>
      <w:r>
        <w:rPr>
          <w:sz w:val="22"/>
          <w:szCs w:val="22"/>
          <w:lang w:val="en-US"/>
        </w:rPr>
        <w:t>A</w:t>
      </w:r>
      <w:r w:rsidRPr="008B643A">
        <w:rPr>
          <w:position w:val="-7"/>
          <w:sz w:val="22"/>
          <w:szCs w:val="22"/>
          <w:lang w:val="en-US"/>
        </w:rPr>
        <w:t xml:space="preserve">p   </w:t>
      </w:r>
      <w:r>
        <w:rPr>
          <w:sz w:val="22"/>
          <w:szCs w:val="22"/>
          <w:lang w:val="en-US"/>
        </w:rPr>
        <w:t>- mean absorbance of the triplicate wells containing cells treated with compound and dose of interest.</w:t>
      </w:r>
    </w:p>
    <w:p w:rsidR="008B643A" w:rsidRDefault="008B643A">
      <w:pPr>
        <w:pStyle w:val="Textbody"/>
        <w:spacing w:after="0"/>
        <w:rPr>
          <w:lang w:val="en-US" w:eastAsia="pl-PL"/>
        </w:rPr>
      </w:pPr>
    </w:p>
    <w:p w:rsidR="00710736" w:rsidRDefault="00204C39">
      <w:pPr>
        <w:pStyle w:val="Textbody"/>
        <w:spacing w:after="113"/>
        <w:jc w:val="both"/>
        <w:rPr>
          <w:lang w:val="en-US" w:eastAsia="pl-PL"/>
        </w:rPr>
      </w:pPr>
      <w:r>
        <w:rPr>
          <w:lang w:val="en-US" w:eastAsia="pl-PL"/>
        </w:rPr>
        <w:tab/>
        <w:t>The obtained percentages of inhibition of the cell proliferation are then used for calculation of the IC</w:t>
      </w:r>
      <w:r>
        <w:rPr>
          <w:vertAlign w:val="subscript"/>
          <w:lang w:val="en-US" w:eastAsia="pl-PL"/>
        </w:rPr>
        <w:t xml:space="preserve">50 </w:t>
      </w:r>
      <w:r>
        <w:rPr>
          <w:lang w:val="en-US" w:eastAsia="pl-PL"/>
        </w:rPr>
        <w:t xml:space="preserve">value, following the method chosen in the </w:t>
      </w:r>
      <w:r>
        <w:rPr>
          <w:b/>
          <w:bCs/>
          <w:lang w:val="en-US" w:eastAsia="pl-PL"/>
        </w:rPr>
        <w:t>Calculation method and options</w:t>
      </w:r>
      <w:r>
        <w:rPr>
          <w:lang w:val="en-US" w:eastAsia="pl-PL"/>
        </w:rPr>
        <w:t xml:space="preserve"> box. </w:t>
      </w:r>
    </w:p>
    <w:p w:rsidR="00206FAF" w:rsidRDefault="00206FAF" w:rsidP="00206FAF">
      <w:pPr>
        <w:pStyle w:val="Textbody"/>
        <w:pageBreakBefore/>
        <w:spacing w:after="0"/>
        <w:jc w:val="center"/>
        <w:rPr>
          <w:b/>
          <w:bCs/>
          <w:i/>
          <w:iCs/>
          <w:sz w:val="22"/>
          <w:szCs w:val="22"/>
          <w:lang w:val="en-US" w:eastAsia="pl-PL"/>
        </w:rPr>
      </w:pPr>
    </w:p>
    <w:p w:rsidR="00206FAF" w:rsidRDefault="00AC5E0D" w:rsidP="00AC5E0D">
      <w:pPr>
        <w:pStyle w:val="Textbody"/>
        <w:spacing w:after="0"/>
        <w:jc w:val="center"/>
        <w:rPr>
          <w:b/>
          <w:bCs/>
          <w:i/>
          <w:iCs/>
          <w:sz w:val="22"/>
          <w:szCs w:val="22"/>
          <w:lang w:val="en-US" w:eastAsia="pl-PL"/>
        </w:rPr>
      </w:pPr>
      <w:r>
        <w:rPr>
          <w:b/>
          <w:bCs/>
          <w:i/>
          <w:iCs/>
          <w:noProof/>
          <w:sz w:val="22"/>
          <w:szCs w:val="22"/>
          <w:lang w:val="ru-RU" w:eastAsia="ru-RU"/>
        </w:rPr>
        <w:drawing>
          <wp:inline distT="0" distB="0" distL="0" distR="0">
            <wp:extent cx="4645662" cy="3355200"/>
            <wp:effectExtent l="19050" t="0" r="2538" b="0"/>
            <wp:docPr id="20" name="Рисунок 17" descr="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png"/>
                    <pic:cNvPicPr/>
                  </pic:nvPicPr>
                  <pic:blipFill>
                    <a:blip r:embed="rId17" cstate="print"/>
                    <a:stretch>
                      <a:fillRect/>
                    </a:stretch>
                  </pic:blipFill>
                  <pic:spPr>
                    <a:xfrm>
                      <a:off x="0" y="0"/>
                      <a:ext cx="4645662" cy="3355200"/>
                    </a:xfrm>
                    <a:prstGeom prst="rect">
                      <a:avLst/>
                    </a:prstGeom>
                  </pic:spPr>
                </pic:pic>
              </a:graphicData>
            </a:graphic>
          </wp:inline>
        </w:drawing>
      </w:r>
      <w:r>
        <w:rPr>
          <w:b/>
          <w:bCs/>
          <w:i/>
          <w:iCs/>
          <w:noProof/>
          <w:sz w:val="22"/>
          <w:szCs w:val="22"/>
          <w:lang w:val="ru-RU" w:eastAsia="ru-RU"/>
        </w:rPr>
        <w:drawing>
          <wp:inline distT="0" distB="0" distL="0" distR="0">
            <wp:extent cx="4572000" cy="3383280"/>
            <wp:effectExtent l="0" t="0" r="0" b="0"/>
            <wp:docPr id="1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2B.png"/>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572000" cy="3383280"/>
                    </a:xfrm>
                    <a:prstGeom prst="rect">
                      <a:avLst/>
                    </a:prstGeom>
                  </pic:spPr>
                </pic:pic>
              </a:graphicData>
            </a:graphic>
          </wp:inline>
        </w:drawing>
      </w:r>
    </w:p>
    <w:p w:rsidR="00206FAF" w:rsidRPr="00373A0D" w:rsidRDefault="00206FAF" w:rsidP="00AC5E0D">
      <w:pPr>
        <w:pStyle w:val="Textbody"/>
        <w:spacing w:before="240" w:after="0"/>
        <w:jc w:val="both"/>
        <w:rPr>
          <w:rFonts w:cs="Times New Roman"/>
          <w:i/>
          <w:iCs/>
          <w:sz w:val="22"/>
          <w:szCs w:val="22"/>
          <w:lang w:val="en-US" w:eastAsia="pl-PL"/>
        </w:rPr>
      </w:pPr>
      <w:r w:rsidRPr="00373A0D">
        <w:rPr>
          <w:rFonts w:cs="Times New Roman"/>
          <w:b/>
          <w:bCs/>
          <w:i/>
          <w:iCs/>
          <w:sz w:val="22"/>
          <w:szCs w:val="22"/>
          <w:lang w:val="en-US" w:eastAsia="pl-PL"/>
        </w:rPr>
        <w:t>Figure 6</w:t>
      </w:r>
      <w:r w:rsidRPr="00373A0D">
        <w:rPr>
          <w:rFonts w:cs="Times New Roman"/>
          <w:i/>
          <w:iCs/>
          <w:sz w:val="22"/>
          <w:szCs w:val="22"/>
          <w:lang w:val="en-US" w:eastAsia="pl-PL"/>
        </w:rPr>
        <w:t xml:space="preserve">. </w:t>
      </w:r>
      <w:r w:rsidR="00373A0D" w:rsidRPr="0091352F">
        <w:rPr>
          <w:rFonts w:cs="Times New Roman"/>
          <w:i/>
          <w:sz w:val="22"/>
          <w:szCs w:val="22"/>
          <w:lang w:val="en-US"/>
        </w:rPr>
        <w:t xml:space="preserve">Graphical explanation of data analysis algorithms used in </w:t>
      </w:r>
      <w:proofErr w:type="spellStart"/>
      <w:r w:rsidR="00373A0D" w:rsidRPr="0091352F">
        <w:rPr>
          <w:rFonts w:cs="Times New Roman"/>
          <w:i/>
          <w:sz w:val="22"/>
          <w:szCs w:val="22"/>
          <w:lang w:val="en-US"/>
        </w:rPr>
        <w:t>Cheburator</w:t>
      </w:r>
      <w:proofErr w:type="spellEnd"/>
      <w:r w:rsidR="00373A0D" w:rsidRPr="0091352F">
        <w:rPr>
          <w:rFonts w:cs="Times New Roman"/>
          <w:i/>
          <w:sz w:val="22"/>
          <w:szCs w:val="22"/>
          <w:lang w:val="en-US"/>
        </w:rPr>
        <w:t>.</w:t>
      </w:r>
      <w:r w:rsidR="00373A0D" w:rsidRPr="00373A0D">
        <w:rPr>
          <w:rFonts w:cs="Times New Roman"/>
          <w:i/>
          <w:sz w:val="22"/>
          <w:szCs w:val="22"/>
          <w:lang w:val="en-US"/>
        </w:rPr>
        <w:t xml:space="preserve"> </w:t>
      </w:r>
      <w:bookmarkStart w:id="8" w:name="OLE_LINK1"/>
      <w:bookmarkStart w:id="9" w:name="OLE_LINK2"/>
      <w:bookmarkStart w:id="10" w:name="OLE_LINK3"/>
      <w:bookmarkStart w:id="11" w:name="OLE_LINK4"/>
      <w:r w:rsidR="00373A0D" w:rsidRPr="00373A0D">
        <w:rPr>
          <w:rFonts w:cs="Times New Roman"/>
          <w:b/>
          <w:i/>
          <w:sz w:val="22"/>
          <w:szCs w:val="22"/>
          <w:lang w:val="en-US"/>
        </w:rPr>
        <w:t>(A)</w:t>
      </w:r>
      <w:r w:rsidR="00373A0D" w:rsidRPr="00373A0D">
        <w:rPr>
          <w:rFonts w:cs="Times New Roman"/>
          <w:i/>
          <w:sz w:val="22"/>
          <w:szCs w:val="22"/>
          <w:lang w:val="en-US"/>
        </w:rPr>
        <w:t xml:space="preserve"> </w:t>
      </w:r>
      <w:r w:rsidR="00373A0D" w:rsidRPr="00373A0D">
        <w:rPr>
          <w:rFonts w:cs="Times New Roman"/>
          <w:i/>
          <w:iCs/>
          <w:sz w:val="22"/>
          <w:szCs w:val="22"/>
          <w:lang w:val="en-US" w:eastAsia="pl-PL"/>
        </w:rPr>
        <w:t>Two types of IC</w:t>
      </w:r>
      <w:r w:rsidR="00373A0D" w:rsidRPr="00373A0D">
        <w:rPr>
          <w:rFonts w:cs="Times New Roman"/>
          <w:i/>
          <w:iCs/>
          <w:sz w:val="22"/>
          <w:szCs w:val="22"/>
          <w:vertAlign w:val="subscript"/>
          <w:lang w:val="en-US" w:eastAsia="pl-PL"/>
        </w:rPr>
        <w:t>50</w:t>
      </w:r>
      <w:r w:rsidR="00373A0D" w:rsidRPr="00373A0D">
        <w:rPr>
          <w:rFonts w:cs="Times New Roman"/>
          <w:i/>
          <w:iCs/>
          <w:sz w:val="22"/>
          <w:szCs w:val="22"/>
          <w:lang w:val="en-US" w:eastAsia="pl-PL"/>
        </w:rPr>
        <w:t xml:space="preserve"> which can be estimated by the software. Absolute IC</w:t>
      </w:r>
      <w:r w:rsidR="00373A0D" w:rsidRPr="00373A0D">
        <w:rPr>
          <w:rFonts w:cs="Times New Roman"/>
          <w:i/>
          <w:iCs/>
          <w:sz w:val="22"/>
          <w:szCs w:val="22"/>
          <w:vertAlign w:val="subscript"/>
          <w:lang w:val="en-US" w:eastAsia="pl-PL"/>
        </w:rPr>
        <w:t>50</w:t>
      </w:r>
      <w:r w:rsidR="00373A0D" w:rsidRPr="00373A0D">
        <w:rPr>
          <w:rFonts w:cs="Times New Roman"/>
          <w:i/>
          <w:iCs/>
          <w:sz w:val="22"/>
          <w:szCs w:val="22"/>
          <w:lang w:val="en-US" w:eastAsia="pl-PL"/>
        </w:rPr>
        <w:t xml:space="preserve"> is defined as the concentration of tested compound which results in 50% inhibition of cell growth as defined by assay controls (pink lines). Relative IC</w:t>
      </w:r>
      <w:r w:rsidR="00373A0D" w:rsidRPr="00373A0D">
        <w:rPr>
          <w:rFonts w:cs="Times New Roman"/>
          <w:i/>
          <w:iCs/>
          <w:sz w:val="22"/>
          <w:szCs w:val="22"/>
          <w:vertAlign w:val="subscript"/>
          <w:lang w:val="en-US" w:eastAsia="pl-PL"/>
        </w:rPr>
        <w:t>50</w:t>
      </w:r>
      <w:r w:rsidR="00373A0D" w:rsidRPr="00373A0D">
        <w:rPr>
          <w:rFonts w:cs="Times New Roman"/>
          <w:i/>
          <w:iCs/>
          <w:sz w:val="22"/>
          <w:szCs w:val="22"/>
          <w:lang w:val="en-US" w:eastAsia="pl-PL"/>
        </w:rPr>
        <w:t xml:space="preserve"> is defined as the concentration of tested compound </w:t>
      </w:r>
      <w:r w:rsidR="00AC5E0D">
        <w:rPr>
          <w:rFonts w:cs="Times New Roman"/>
          <w:i/>
          <w:iCs/>
          <w:sz w:val="22"/>
          <w:szCs w:val="22"/>
          <w:lang w:val="en-US" w:eastAsia="pl-PL"/>
        </w:rPr>
        <w:t xml:space="preserve">(dashed orange line) </w:t>
      </w:r>
      <w:r w:rsidR="00373A0D" w:rsidRPr="00373A0D">
        <w:rPr>
          <w:rFonts w:cs="Times New Roman"/>
          <w:i/>
          <w:iCs/>
          <w:sz w:val="22"/>
          <w:szCs w:val="22"/>
          <w:lang w:val="en-US" w:eastAsia="pl-PL"/>
        </w:rPr>
        <w:t>which results in half of the maximum inhibition of cell growth attainable for that particular compound (</w:t>
      </w:r>
      <w:r w:rsidR="00AC5E0D">
        <w:rPr>
          <w:rFonts w:cs="Times New Roman"/>
          <w:i/>
          <w:iCs/>
          <w:sz w:val="22"/>
          <w:szCs w:val="22"/>
          <w:lang w:val="en-US" w:eastAsia="pl-PL"/>
        </w:rPr>
        <w:t xml:space="preserve">solid </w:t>
      </w:r>
      <w:r w:rsidR="00373A0D" w:rsidRPr="00373A0D">
        <w:rPr>
          <w:rFonts w:cs="Times New Roman"/>
          <w:i/>
          <w:iCs/>
          <w:sz w:val="22"/>
          <w:szCs w:val="22"/>
          <w:lang w:val="en-US" w:eastAsia="pl-PL"/>
        </w:rPr>
        <w:t>orange line</w:t>
      </w:r>
      <w:r w:rsidR="00AC5E0D">
        <w:rPr>
          <w:rFonts w:cs="Times New Roman"/>
          <w:i/>
          <w:iCs/>
          <w:sz w:val="22"/>
          <w:szCs w:val="22"/>
          <w:lang w:val="en-US" w:eastAsia="pl-PL"/>
        </w:rPr>
        <w:t>, also called I</w:t>
      </w:r>
      <w:r w:rsidR="00AC5E0D" w:rsidRPr="00AC5E0D">
        <w:rPr>
          <w:rFonts w:cs="Times New Roman"/>
          <w:i/>
          <w:iCs/>
          <w:sz w:val="22"/>
          <w:szCs w:val="22"/>
          <w:vertAlign w:val="subscript"/>
          <w:lang w:val="en-US" w:eastAsia="pl-PL"/>
        </w:rPr>
        <w:t>max</w:t>
      </w:r>
      <w:r w:rsidR="00373A0D" w:rsidRPr="00373A0D">
        <w:rPr>
          <w:rFonts w:cs="Times New Roman"/>
          <w:i/>
          <w:iCs/>
          <w:sz w:val="22"/>
          <w:szCs w:val="22"/>
          <w:lang w:val="en-US" w:eastAsia="pl-PL"/>
        </w:rPr>
        <w:t xml:space="preserve">). </w:t>
      </w:r>
      <w:r w:rsidR="00373A0D" w:rsidRPr="00373A0D">
        <w:rPr>
          <w:rFonts w:cs="Times New Roman"/>
          <w:b/>
          <w:i/>
          <w:sz w:val="22"/>
          <w:szCs w:val="22"/>
          <w:lang w:val="en-US"/>
        </w:rPr>
        <w:t>(B)</w:t>
      </w:r>
      <w:r w:rsidR="00373A0D" w:rsidRPr="00373A0D">
        <w:rPr>
          <w:rFonts w:cs="Times New Roman"/>
          <w:i/>
          <w:sz w:val="22"/>
          <w:szCs w:val="22"/>
          <w:lang w:val="en-US"/>
        </w:rPr>
        <w:t xml:space="preserve"> </w:t>
      </w:r>
      <w:bookmarkEnd w:id="8"/>
      <w:bookmarkEnd w:id="9"/>
      <w:r w:rsidR="00373A0D" w:rsidRPr="00373A0D">
        <w:rPr>
          <w:rFonts w:cs="Times New Roman"/>
          <w:i/>
          <w:iCs/>
          <w:sz w:val="22"/>
          <w:szCs w:val="22"/>
          <w:lang w:val="en-US" w:eastAsia="pl-PL"/>
        </w:rPr>
        <w:t xml:space="preserve">Example </w:t>
      </w:r>
      <w:bookmarkEnd w:id="10"/>
      <w:bookmarkEnd w:id="11"/>
      <w:r w:rsidR="00373A0D" w:rsidRPr="00373A0D">
        <w:rPr>
          <w:rFonts w:cs="Times New Roman"/>
          <w:i/>
          <w:iCs/>
          <w:sz w:val="22"/>
          <w:szCs w:val="22"/>
          <w:lang w:val="en-US" w:eastAsia="pl-PL"/>
        </w:rPr>
        <w:t>of a dose-response curve drawn on the basis of 4 values (black circles). The simple two-point method uses 2 data points bracketing 50% inhibition of proliferation (green lines) to estimate the IC</w:t>
      </w:r>
      <w:r w:rsidR="00373A0D" w:rsidRPr="00373A0D">
        <w:rPr>
          <w:rFonts w:cs="Times New Roman"/>
          <w:i/>
          <w:iCs/>
          <w:sz w:val="22"/>
          <w:szCs w:val="22"/>
          <w:vertAlign w:val="subscript"/>
          <w:lang w:val="en-US" w:eastAsia="pl-PL"/>
        </w:rPr>
        <w:t>50</w:t>
      </w:r>
      <w:r w:rsidR="00373A0D" w:rsidRPr="00373A0D">
        <w:rPr>
          <w:rFonts w:cs="Times New Roman"/>
          <w:i/>
          <w:iCs/>
          <w:sz w:val="22"/>
          <w:szCs w:val="22"/>
          <w:lang w:val="en-US" w:eastAsia="pl-PL"/>
        </w:rPr>
        <w:t>. In the second method, a linear model is built with the intercept and the slope, which are calculated by linear regression analysis using data points which are &gt;0% and &lt;100% (red lines). These parameters are later used to estimate IC</w:t>
      </w:r>
      <w:r w:rsidR="00373A0D" w:rsidRPr="00373A0D">
        <w:rPr>
          <w:rFonts w:cs="Times New Roman"/>
          <w:i/>
          <w:iCs/>
          <w:sz w:val="22"/>
          <w:szCs w:val="22"/>
          <w:vertAlign w:val="subscript"/>
          <w:lang w:val="en-US" w:eastAsia="pl-PL"/>
        </w:rPr>
        <w:t>50</w:t>
      </w:r>
      <w:r w:rsidR="00373A0D" w:rsidRPr="00373A0D">
        <w:rPr>
          <w:rFonts w:cs="Times New Roman"/>
          <w:i/>
          <w:iCs/>
          <w:sz w:val="22"/>
          <w:szCs w:val="22"/>
          <w:lang w:val="en-US" w:eastAsia="pl-PL"/>
        </w:rPr>
        <w:t>. In the third method, the software uses all data points to build nonlinear regression model and estimate IC</w:t>
      </w:r>
      <w:r w:rsidR="00373A0D" w:rsidRPr="00373A0D">
        <w:rPr>
          <w:rFonts w:cs="Times New Roman"/>
          <w:i/>
          <w:iCs/>
          <w:sz w:val="22"/>
          <w:szCs w:val="22"/>
          <w:vertAlign w:val="subscript"/>
          <w:lang w:val="en-US" w:eastAsia="pl-PL"/>
        </w:rPr>
        <w:t>50</w:t>
      </w:r>
      <w:r w:rsidR="00373A0D" w:rsidRPr="00373A0D">
        <w:rPr>
          <w:rFonts w:cs="Times New Roman"/>
          <w:i/>
          <w:iCs/>
          <w:sz w:val="22"/>
          <w:szCs w:val="22"/>
          <w:lang w:val="en-US" w:eastAsia="pl-PL"/>
        </w:rPr>
        <w:t xml:space="preserve"> (blue lines). Absolute IC</w:t>
      </w:r>
      <w:r w:rsidR="00373A0D" w:rsidRPr="00373A0D">
        <w:rPr>
          <w:rFonts w:cs="Times New Roman"/>
          <w:i/>
          <w:iCs/>
          <w:sz w:val="22"/>
          <w:szCs w:val="22"/>
          <w:vertAlign w:val="subscript"/>
          <w:lang w:val="en-US" w:eastAsia="pl-PL"/>
        </w:rPr>
        <w:t>50</w:t>
      </w:r>
      <w:r w:rsidR="00373A0D" w:rsidRPr="00373A0D">
        <w:rPr>
          <w:rFonts w:cs="Times New Roman"/>
          <w:i/>
          <w:iCs/>
          <w:sz w:val="22"/>
          <w:szCs w:val="22"/>
          <w:lang w:val="en-US" w:eastAsia="pl-PL"/>
        </w:rPr>
        <w:t xml:space="preserve"> values are shown on this plot, but software can also estimate relative IC</w:t>
      </w:r>
      <w:r w:rsidR="00373A0D" w:rsidRPr="00373A0D">
        <w:rPr>
          <w:rFonts w:cs="Times New Roman"/>
          <w:i/>
          <w:iCs/>
          <w:sz w:val="22"/>
          <w:szCs w:val="22"/>
          <w:vertAlign w:val="subscript"/>
          <w:lang w:val="en-US" w:eastAsia="pl-PL"/>
        </w:rPr>
        <w:t>50</w:t>
      </w:r>
      <w:r w:rsidR="00373A0D" w:rsidRPr="00373A0D">
        <w:rPr>
          <w:rFonts w:cs="Times New Roman"/>
          <w:i/>
          <w:iCs/>
          <w:sz w:val="22"/>
          <w:szCs w:val="22"/>
          <w:lang w:val="en-US" w:eastAsia="pl-PL"/>
        </w:rPr>
        <w:t xml:space="preserve"> in linear and nonlinear regression analysis</w:t>
      </w:r>
      <w:r w:rsidR="00373A0D" w:rsidRPr="00373A0D">
        <w:rPr>
          <w:rFonts w:cs="Times New Roman"/>
          <w:i/>
          <w:sz w:val="22"/>
          <w:szCs w:val="22"/>
          <w:lang w:val="en-US"/>
        </w:rPr>
        <w:t>.</w:t>
      </w:r>
    </w:p>
    <w:p w:rsidR="00206FAF" w:rsidRPr="00373A0D" w:rsidRDefault="00206FAF">
      <w:pPr>
        <w:rPr>
          <w:b/>
          <w:i/>
          <w:lang w:val="en-US"/>
        </w:rPr>
      </w:pPr>
      <w:r w:rsidRPr="00373A0D">
        <w:rPr>
          <w:b/>
          <w:i/>
          <w:lang w:val="en-US"/>
        </w:rPr>
        <w:br w:type="page"/>
      </w:r>
    </w:p>
    <w:p w:rsidR="00710736" w:rsidRPr="00206FAF" w:rsidRDefault="00710736" w:rsidP="00206FAF">
      <w:pPr>
        <w:jc w:val="both"/>
        <w:rPr>
          <w:rFonts w:cs="Times New Roman"/>
          <w:b/>
          <w:i/>
          <w:kern w:val="0"/>
          <w:lang w:val="en-US"/>
        </w:rPr>
      </w:pPr>
      <w:r w:rsidRPr="00710736">
        <w:rPr>
          <w:b/>
          <w:i/>
        </w:rPr>
        <w:lastRenderedPageBreak/>
        <w:t>Two-points method</w:t>
      </w:r>
      <w:r w:rsidRPr="00710736">
        <w:t>. This is the simplest among the three methods implemented in our software and can only be used to calculate absolute IC</w:t>
      </w:r>
      <w:r w:rsidRPr="00710736">
        <w:rPr>
          <w:vertAlign w:val="subscript"/>
        </w:rPr>
        <w:t>50</w:t>
      </w:r>
      <w:r w:rsidRPr="00710736">
        <w:t xml:space="preserve">. It assumes linear dose-response relationship in concentrations resulting in near 50% of inhibition and thus, its use is only recommended for preliminary assessment. </w:t>
      </w:r>
      <w:r w:rsidR="00206FAF">
        <w:rPr>
          <w:lang w:val="en-US" w:eastAsia="pl-PL"/>
        </w:rPr>
        <w:t xml:space="preserve">Only percentages of inhibition &gt;0% and &lt;100% are taken for analysis. </w:t>
      </w:r>
      <w:r w:rsidRPr="00710736">
        <w:t>First, the average percent of inhibition is calculated for each tested concentration (triplicate). Then, the IC</w:t>
      </w:r>
      <w:r w:rsidRPr="00710736">
        <w:rPr>
          <w:vertAlign w:val="subscript"/>
        </w:rPr>
        <w:t>50</w:t>
      </w:r>
      <w:r w:rsidRPr="00710736">
        <w:t xml:space="preserve"> value is estimated by linear interpolation using the 2 data points representing averaged percents of inhibition bracketing 50%. The IC</w:t>
      </w:r>
      <w:r w:rsidRPr="00710736">
        <w:rPr>
          <w:vertAlign w:val="subscript"/>
        </w:rPr>
        <w:t xml:space="preserve">50 </w:t>
      </w:r>
      <w:r w:rsidRPr="00710736">
        <w:t>value or its logarithm, depending on the dose axis transformation, can be graphically represented as the abscissa value for a point of the line drawn between 2 data points where it reaches the value of 50% on the ordinate axis. For example, suppose we have 2 concentrations, 10 and 100 µg/ml, which caused 25% and 65% inhibitions of proliferation, respectively</w:t>
      </w:r>
      <w:r w:rsidRPr="00710736">
        <w:rPr>
          <w:b/>
        </w:rPr>
        <w:t xml:space="preserve"> (Figure </w:t>
      </w:r>
      <w:r w:rsidR="00B404B3">
        <w:rPr>
          <w:b/>
        </w:rPr>
        <w:t>6</w:t>
      </w:r>
      <w:r w:rsidRPr="00710736">
        <w:rPr>
          <w:b/>
        </w:rPr>
        <w:t>B)</w:t>
      </w:r>
      <w:r w:rsidRPr="00710736">
        <w:t xml:space="preserve">. One line could be drawn between these 2 data points (solid green line), and an additional horizontal line could be drawn for the ordinate value 50% (dashed pink line in </w:t>
      </w:r>
      <w:r w:rsidRPr="00710736">
        <w:rPr>
          <w:b/>
        </w:rPr>
        <w:t xml:space="preserve">Figure </w:t>
      </w:r>
      <w:r w:rsidR="00B404B3">
        <w:rPr>
          <w:b/>
        </w:rPr>
        <w:t>6</w:t>
      </w:r>
      <w:r w:rsidRPr="00710736">
        <w:rPr>
          <w:b/>
        </w:rPr>
        <w:t>B</w:t>
      </w:r>
      <w:r w:rsidRPr="00710736">
        <w:t xml:space="preserve">). The abscissa value for the point where these 2 lines intersect is the concentration that causes 50% inhibition in the proliferation of the cell population (green arrow in </w:t>
      </w:r>
      <w:r w:rsidRPr="00710736">
        <w:rPr>
          <w:b/>
        </w:rPr>
        <w:t xml:space="preserve">Figure </w:t>
      </w:r>
      <w:r w:rsidR="00B404B3">
        <w:rPr>
          <w:b/>
        </w:rPr>
        <w:t>6</w:t>
      </w:r>
      <w:r w:rsidRPr="00710736">
        <w:rPr>
          <w:b/>
        </w:rPr>
        <w:t>B</w:t>
      </w:r>
      <w:r w:rsidRPr="00710736">
        <w:t>). The program takes into account transformations for the abscissa or ordinate axes if they were applied. For example, when the abscissa is logarithmically transformed and the ordinate axis is not (the default), the IC</w:t>
      </w:r>
      <w:r w:rsidRPr="00710736">
        <w:rPr>
          <w:vertAlign w:val="subscript"/>
        </w:rPr>
        <w:t xml:space="preserve">50 </w:t>
      </w:r>
      <w:r w:rsidRPr="00710736">
        <w:t xml:space="preserve">value is calculated using the formula: </w:t>
      </w:r>
    </w:p>
    <w:p w:rsidR="00710736" w:rsidRPr="00B404B3" w:rsidRDefault="00710736" w:rsidP="00710736">
      <w:pPr>
        <w:pStyle w:val="Tekstpodstawowy31"/>
        <w:autoSpaceDE/>
        <w:contextualSpacing/>
        <w:rPr>
          <w:color w:val="auto"/>
          <w:sz w:val="22"/>
          <w:szCs w:val="22"/>
        </w:rPr>
      </w:pPr>
    </w:p>
    <w:tbl>
      <w:tblPr>
        <w:tblW w:w="9637" w:type="dxa"/>
        <w:tblInd w:w="45" w:type="dxa"/>
        <w:tblLayout w:type="fixed"/>
        <w:tblCellMar>
          <w:left w:w="10" w:type="dxa"/>
          <w:right w:w="10" w:type="dxa"/>
        </w:tblCellMar>
        <w:tblLook w:val="0000"/>
      </w:tblPr>
      <w:tblGrid>
        <w:gridCol w:w="9208"/>
        <w:gridCol w:w="429"/>
      </w:tblGrid>
      <w:tr w:rsidR="00B404B3" w:rsidRPr="00B404B3" w:rsidTr="007416E4">
        <w:tc>
          <w:tcPr>
            <w:tcW w:w="9208" w:type="dxa"/>
            <w:tcMar>
              <w:top w:w="55" w:type="dxa"/>
              <w:left w:w="55" w:type="dxa"/>
              <w:bottom w:w="55" w:type="dxa"/>
              <w:right w:w="55" w:type="dxa"/>
            </w:tcMar>
          </w:tcPr>
          <w:p w:rsidR="00B404B3" w:rsidRPr="00B404B3" w:rsidRDefault="00B404B3" w:rsidP="007416E4">
            <w:pPr>
              <w:pStyle w:val="TableContents"/>
              <w:jc w:val="center"/>
              <w:rPr>
                <w:rFonts w:cs="Times New Roman"/>
                <w:sz w:val="22"/>
                <w:szCs w:val="22"/>
              </w:rPr>
            </w:pPr>
            <w:r w:rsidRPr="00B404B3">
              <w:rPr>
                <w:rFonts w:cs="Times New Roman"/>
                <w:sz w:val="22"/>
                <w:szCs w:val="22"/>
              </w:rPr>
              <w:t>lg IC</w:t>
            </w:r>
            <w:r w:rsidRPr="00B404B3">
              <w:rPr>
                <w:rFonts w:cs="Times New Roman"/>
                <w:sz w:val="22"/>
                <w:szCs w:val="22"/>
                <w:vertAlign w:val="subscript"/>
              </w:rPr>
              <w:t>50</w:t>
            </w:r>
            <w:r w:rsidRPr="00B404B3">
              <w:rPr>
                <w:rFonts w:cs="Times New Roman"/>
                <w:sz w:val="22"/>
                <w:szCs w:val="22"/>
              </w:rPr>
              <w:t xml:space="preserve">  = </w:t>
            </w:r>
            <m:oMath>
              <m:r>
                <m:rPr>
                  <m:sty m:val="p"/>
                </m:rPr>
                <w:rPr>
                  <w:rFonts w:ascii="Cambria Math" w:cs="Times New Roman"/>
                  <w:sz w:val="22"/>
                  <w:szCs w:val="22"/>
                </w:rPr>
                <m:t>lg</m:t>
              </m:r>
              <m:sSub>
                <m:sSubPr>
                  <m:ctrlPr>
                    <w:rPr>
                      <w:rFonts w:ascii="Cambria Math" w:hAnsi="Cambria Math" w:cs="Times New Roman"/>
                      <w:sz w:val="22"/>
                      <w:szCs w:val="22"/>
                    </w:rPr>
                  </m:ctrlPr>
                </m:sSubPr>
                <m:e>
                  <m:r>
                    <m:rPr>
                      <m:sty m:val="p"/>
                    </m:rPr>
                    <w:rPr>
                      <w:rFonts w:ascii="Cambria Math" w:cs="Times New Roman"/>
                      <w:sz w:val="22"/>
                      <w:szCs w:val="22"/>
                    </w:rPr>
                    <m:t>C</m:t>
                  </m:r>
                </m:e>
                <m:sub>
                  <m:r>
                    <m:rPr>
                      <m:sty m:val="p"/>
                    </m:rPr>
                    <w:rPr>
                      <w:rFonts w:ascii="Cambria Math" w:cs="Times New Roman"/>
                      <w:sz w:val="22"/>
                      <w:szCs w:val="22"/>
                    </w:rPr>
                    <m:t>lower</m:t>
                  </m:r>
                </m:sub>
              </m:sSub>
              <m:r>
                <w:rPr>
                  <w:rFonts w:ascii="Cambria Math" w:cs="Times New Roman"/>
                  <w:sz w:val="22"/>
                  <w:szCs w:val="22"/>
                </w:rPr>
                <m:t>+</m:t>
              </m:r>
              <m:f>
                <m:fPr>
                  <m:ctrlPr>
                    <w:rPr>
                      <w:rFonts w:ascii="Cambria Math" w:hAnsi="Cambria Math" w:cs="Times New Roman"/>
                      <w:sz w:val="22"/>
                      <w:szCs w:val="22"/>
                    </w:rPr>
                  </m:ctrlPr>
                </m:fPr>
                <m:num>
                  <m:r>
                    <w:rPr>
                      <w:rFonts w:ascii="Cambria Math" w:cs="Times New Roman"/>
                      <w:sz w:val="22"/>
                      <w:szCs w:val="22"/>
                    </w:rPr>
                    <m:t>50</m:t>
                  </m:r>
                  <m:r>
                    <m:rPr>
                      <m:nor/>
                    </m:rPr>
                    <w:rPr>
                      <w:rFonts w:cs="Times New Roman"/>
                      <w:sz w:val="22"/>
                      <w:szCs w:val="22"/>
                    </w:rPr>
                    <m:t>%</m:t>
                  </m:r>
                  <m:r>
                    <w:rPr>
                      <w:rFonts w:cs="Times New Roman"/>
                      <w:sz w:val="22"/>
                      <w:szCs w:val="22"/>
                    </w:rPr>
                    <m:t>-</m:t>
                  </m:r>
                  <m:sSub>
                    <m:sSubPr>
                      <m:ctrlPr>
                        <w:rPr>
                          <w:rFonts w:ascii="Cambria Math" w:hAnsi="Cambria Math" w:cs="Times New Roman"/>
                          <w:sz w:val="22"/>
                          <w:szCs w:val="22"/>
                        </w:rPr>
                      </m:ctrlPr>
                    </m:sSubPr>
                    <m:e>
                      <m:r>
                        <m:rPr>
                          <m:sty m:val="p"/>
                        </m:rPr>
                        <w:rPr>
                          <w:rFonts w:ascii="Cambria Math" w:cs="Times New Roman"/>
                          <w:sz w:val="22"/>
                          <w:szCs w:val="22"/>
                        </w:rPr>
                        <m:t>IP</m:t>
                      </m:r>
                    </m:e>
                    <m:sub>
                      <m:r>
                        <m:rPr>
                          <m:sty m:val="p"/>
                        </m:rPr>
                        <w:rPr>
                          <w:rFonts w:ascii="Cambria Math" w:cs="Times New Roman"/>
                          <w:sz w:val="22"/>
                          <w:szCs w:val="22"/>
                        </w:rPr>
                        <m:t>lower</m:t>
                      </m:r>
                    </m:sub>
                  </m:sSub>
                </m:num>
                <m:den>
                  <m:sSub>
                    <m:sSubPr>
                      <m:ctrlPr>
                        <w:rPr>
                          <w:rFonts w:ascii="Cambria Math" w:hAnsi="Cambria Math" w:cs="Times New Roman"/>
                          <w:sz w:val="22"/>
                          <w:szCs w:val="22"/>
                        </w:rPr>
                      </m:ctrlPr>
                    </m:sSubPr>
                    <m:e>
                      <m:r>
                        <m:rPr>
                          <m:sty m:val="p"/>
                        </m:rPr>
                        <w:rPr>
                          <w:rFonts w:ascii="Cambria Math" w:cs="Times New Roman"/>
                          <w:sz w:val="22"/>
                          <w:szCs w:val="22"/>
                        </w:rPr>
                        <m:t>IP</m:t>
                      </m:r>
                    </m:e>
                    <m:sub>
                      <m:r>
                        <m:rPr>
                          <m:sty m:val="p"/>
                        </m:rPr>
                        <w:rPr>
                          <w:rFonts w:ascii="Cambria Math" w:cs="Times New Roman"/>
                          <w:sz w:val="22"/>
                          <w:szCs w:val="22"/>
                        </w:rPr>
                        <m:t>higher</m:t>
                      </m:r>
                    </m:sub>
                  </m:sSub>
                  <m:r>
                    <w:rPr>
                      <w:rFonts w:cs="Times New Roman"/>
                      <w:sz w:val="22"/>
                      <w:szCs w:val="22"/>
                    </w:rPr>
                    <m:t>-</m:t>
                  </m:r>
                  <m:sSub>
                    <m:sSubPr>
                      <m:ctrlPr>
                        <w:rPr>
                          <w:rFonts w:ascii="Cambria Math" w:hAnsi="Cambria Math" w:cs="Times New Roman"/>
                          <w:sz w:val="22"/>
                          <w:szCs w:val="22"/>
                        </w:rPr>
                      </m:ctrlPr>
                    </m:sSubPr>
                    <m:e>
                      <m:r>
                        <m:rPr>
                          <m:sty m:val="p"/>
                        </m:rPr>
                        <w:rPr>
                          <w:rFonts w:ascii="Cambria Math" w:cs="Times New Roman"/>
                          <w:sz w:val="22"/>
                          <w:szCs w:val="22"/>
                        </w:rPr>
                        <m:t>IP</m:t>
                      </m:r>
                    </m:e>
                    <m:sub>
                      <m:r>
                        <m:rPr>
                          <m:sty m:val="p"/>
                        </m:rPr>
                        <w:rPr>
                          <w:rFonts w:ascii="Cambria Math" w:cs="Times New Roman"/>
                          <w:sz w:val="22"/>
                          <w:szCs w:val="22"/>
                        </w:rPr>
                        <m:t>lower</m:t>
                      </m:r>
                    </m:sub>
                  </m:sSub>
                </m:den>
              </m:f>
            </m:oMath>
          </w:p>
        </w:tc>
        <w:tc>
          <w:tcPr>
            <w:tcW w:w="429" w:type="dxa"/>
            <w:tcMar>
              <w:top w:w="55" w:type="dxa"/>
              <w:left w:w="55" w:type="dxa"/>
              <w:bottom w:w="55" w:type="dxa"/>
              <w:right w:w="55" w:type="dxa"/>
            </w:tcMar>
            <w:vAlign w:val="center"/>
          </w:tcPr>
          <w:p w:rsidR="00B404B3" w:rsidRPr="00B404B3" w:rsidRDefault="00B404B3" w:rsidP="007416E4">
            <w:pPr>
              <w:pStyle w:val="TableContents"/>
              <w:jc w:val="right"/>
              <w:rPr>
                <w:rFonts w:cs="Times New Roman"/>
                <w:sz w:val="22"/>
                <w:szCs w:val="22"/>
              </w:rPr>
            </w:pPr>
            <w:r w:rsidRPr="00B404B3">
              <w:rPr>
                <w:rFonts w:cs="Times New Roman"/>
                <w:sz w:val="22"/>
                <w:szCs w:val="22"/>
              </w:rPr>
              <w:t>(2)</w:t>
            </w:r>
          </w:p>
        </w:tc>
      </w:tr>
    </w:tbl>
    <w:p w:rsidR="00B404B3" w:rsidRPr="00B404B3" w:rsidRDefault="00B404B3" w:rsidP="00B404B3">
      <w:pPr>
        <w:pStyle w:val="Tekstpodstawowy3"/>
        <w:autoSpaceDE/>
        <w:rPr>
          <w:rFonts w:cs="Times New Roman"/>
          <w:sz w:val="22"/>
          <w:szCs w:val="22"/>
          <w:lang w:eastAsia="pl-PL"/>
        </w:rPr>
      </w:pPr>
      <w:r w:rsidRPr="00B404B3">
        <w:rPr>
          <w:rFonts w:cs="Times New Roman"/>
          <w:sz w:val="22"/>
          <w:szCs w:val="22"/>
          <w:lang w:eastAsia="pl-PL"/>
        </w:rPr>
        <w:t>where:</w:t>
      </w:r>
    </w:p>
    <w:p w:rsidR="00B404B3" w:rsidRPr="00B404B3" w:rsidRDefault="00B404B3" w:rsidP="00B404B3">
      <w:pPr>
        <w:pStyle w:val="Textbody"/>
        <w:spacing w:after="0"/>
        <w:ind w:left="13"/>
        <w:rPr>
          <w:rFonts w:cs="Times New Roman"/>
          <w:sz w:val="22"/>
          <w:szCs w:val="22"/>
          <w:lang w:val="en-US"/>
        </w:rPr>
      </w:pPr>
      <w:proofErr w:type="spellStart"/>
      <w:r w:rsidRPr="00B404B3">
        <w:rPr>
          <w:rFonts w:cs="Times New Roman"/>
          <w:sz w:val="22"/>
          <w:szCs w:val="22"/>
          <w:lang w:val="en-US"/>
        </w:rPr>
        <w:t>C</w:t>
      </w:r>
      <w:r w:rsidRPr="00B404B3">
        <w:rPr>
          <w:rFonts w:cs="Times New Roman"/>
          <w:sz w:val="22"/>
          <w:szCs w:val="22"/>
          <w:vertAlign w:val="subscript"/>
          <w:lang w:val="en-US"/>
        </w:rPr>
        <w:t>lower</w:t>
      </w:r>
      <w:proofErr w:type="spellEnd"/>
      <w:r w:rsidRPr="00B404B3">
        <w:rPr>
          <w:rFonts w:cs="Times New Roman"/>
          <w:sz w:val="22"/>
          <w:szCs w:val="22"/>
          <w:vertAlign w:val="subscript"/>
          <w:lang w:val="en-US"/>
        </w:rPr>
        <w:t xml:space="preserve"> </w:t>
      </w:r>
      <w:r w:rsidRPr="00B404B3">
        <w:rPr>
          <w:rFonts w:cs="Times New Roman"/>
          <w:sz w:val="22"/>
          <w:szCs w:val="22"/>
          <w:lang w:val="en-US"/>
        </w:rPr>
        <w:t xml:space="preserve">- </w:t>
      </w:r>
      <w:r w:rsidRPr="00B404B3">
        <w:rPr>
          <w:rFonts w:cs="Times New Roman"/>
          <w:sz w:val="22"/>
          <w:szCs w:val="22"/>
          <w:lang w:val="en-US" w:eastAsia="pl-PL"/>
        </w:rPr>
        <w:t>concentration of tested preparation, which resulted in inhibition of proliferation less than 50%</w:t>
      </w:r>
      <w:r w:rsidRPr="00B404B3">
        <w:rPr>
          <w:rFonts w:cs="Times New Roman"/>
          <w:sz w:val="22"/>
          <w:szCs w:val="22"/>
          <w:lang w:val="en-US"/>
        </w:rPr>
        <w:t>;</w:t>
      </w:r>
    </w:p>
    <w:p w:rsidR="00B404B3" w:rsidRPr="00B404B3" w:rsidRDefault="00B404B3" w:rsidP="00B404B3">
      <w:pPr>
        <w:pStyle w:val="Textbody"/>
        <w:spacing w:after="0"/>
        <w:ind w:left="13"/>
        <w:rPr>
          <w:rFonts w:cs="Times New Roman"/>
          <w:sz w:val="22"/>
          <w:szCs w:val="22"/>
          <w:lang w:val="en-US"/>
        </w:rPr>
      </w:pPr>
      <w:proofErr w:type="spellStart"/>
      <w:r w:rsidRPr="00B404B3">
        <w:rPr>
          <w:rFonts w:cs="Times New Roman"/>
          <w:sz w:val="22"/>
          <w:szCs w:val="22"/>
          <w:lang w:val="en-US"/>
        </w:rPr>
        <w:t>C</w:t>
      </w:r>
      <w:r w:rsidRPr="00B404B3">
        <w:rPr>
          <w:rFonts w:cs="Times New Roman"/>
          <w:sz w:val="22"/>
          <w:szCs w:val="22"/>
          <w:vertAlign w:val="subscript"/>
          <w:lang w:val="en-US"/>
        </w:rPr>
        <w:t>higher</w:t>
      </w:r>
      <w:proofErr w:type="spellEnd"/>
      <w:r w:rsidRPr="00B404B3">
        <w:rPr>
          <w:rFonts w:cs="Times New Roman"/>
          <w:sz w:val="22"/>
          <w:szCs w:val="22"/>
          <w:lang w:val="en-US"/>
        </w:rPr>
        <w:t xml:space="preserve"> - concentration of tested preparation, which resulted in inhibition of proliferation more than 50%;</w:t>
      </w:r>
    </w:p>
    <w:p w:rsidR="00B404B3" w:rsidRPr="00B404B3" w:rsidRDefault="00B404B3" w:rsidP="00B404B3">
      <w:pPr>
        <w:pStyle w:val="Textbody"/>
        <w:spacing w:after="0"/>
        <w:ind w:left="13"/>
        <w:rPr>
          <w:rFonts w:cs="Times New Roman"/>
          <w:sz w:val="22"/>
          <w:szCs w:val="22"/>
          <w:lang w:val="en-US"/>
        </w:rPr>
      </w:pPr>
      <w:proofErr w:type="spellStart"/>
      <w:r w:rsidRPr="00B404B3">
        <w:rPr>
          <w:rFonts w:cs="Times New Roman"/>
          <w:sz w:val="22"/>
          <w:szCs w:val="22"/>
          <w:lang w:val="en-US"/>
        </w:rPr>
        <w:t>IP</w:t>
      </w:r>
      <w:r w:rsidRPr="00B404B3">
        <w:rPr>
          <w:rFonts w:cs="Times New Roman"/>
          <w:sz w:val="22"/>
          <w:szCs w:val="22"/>
          <w:vertAlign w:val="subscript"/>
          <w:lang w:val="en-US"/>
        </w:rPr>
        <w:t>lower</w:t>
      </w:r>
      <w:proofErr w:type="spellEnd"/>
      <w:r w:rsidRPr="00B404B3">
        <w:rPr>
          <w:rFonts w:cs="Times New Roman"/>
          <w:sz w:val="22"/>
          <w:szCs w:val="22"/>
          <w:lang w:val="en-US"/>
        </w:rPr>
        <w:t xml:space="preserve"> - inhibition of the proliferation (%) calculated for C</w:t>
      </w:r>
      <w:r w:rsidRPr="00B404B3">
        <w:rPr>
          <w:rFonts w:cs="Times New Roman"/>
          <w:position w:val="-7"/>
          <w:sz w:val="22"/>
          <w:szCs w:val="22"/>
          <w:lang w:val="en-US"/>
        </w:rPr>
        <w:t>lower</w:t>
      </w:r>
      <w:r w:rsidRPr="00B404B3">
        <w:rPr>
          <w:rFonts w:cs="Times New Roman"/>
          <w:sz w:val="22"/>
          <w:szCs w:val="22"/>
          <w:lang w:val="en-US"/>
        </w:rPr>
        <w:t>;</w:t>
      </w:r>
    </w:p>
    <w:p w:rsidR="00B404B3" w:rsidRPr="00B404B3" w:rsidRDefault="00B404B3" w:rsidP="00B404B3">
      <w:pPr>
        <w:pStyle w:val="Textbody"/>
        <w:spacing w:after="0"/>
        <w:ind w:left="13"/>
        <w:rPr>
          <w:rFonts w:cs="Times New Roman"/>
          <w:sz w:val="22"/>
          <w:szCs w:val="22"/>
          <w:lang w:val="en-US"/>
        </w:rPr>
      </w:pPr>
      <w:proofErr w:type="spellStart"/>
      <w:r w:rsidRPr="00B404B3">
        <w:rPr>
          <w:rFonts w:cs="Times New Roman"/>
          <w:sz w:val="22"/>
          <w:szCs w:val="22"/>
          <w:lang w:val="en-US"/>
        </w:rPr>
        <w:t>IP</w:t>
      </w:r>
      <w:r w:rsidRPr="00B404B3">
        <w:rPr>
          <w:rFonts w:cs="Times New Roman"/>
          <w:sz w:val="22"/>
          <w:szCs w:val="22"/>
          <w:vertAlign w:val="subscript"/>
          <w:lang w:val="en-US"/>
        </w:rPr>
        <w:t>higher</w:t>
      </w:r>
      <w:proofErr w:type="spellEnd"/>
      <w:r w:rsidRPr="00B404B3">
        <w:rPr>
          <w:rFonts w:cs="Times New Roman"/>
          <w:sz w:val="22"/>
          <w:szCs w:val="22"/>
          <w:vertAlign w:val="subscript"/>
          <w:lang w:val="en-US"/>
        </w:rPr>
        <w:t xml:space="preserve"> </w:t>
      </w:r>
      <w:r w:rsidRPr="00B404B3">
        <w:rPr>
          <w:rFonts w:cs="Times New Roman"/>
          <w:position w:val="-7"/>
          <w:sz w:val="22"/>
          <w:szCs w:val="22"/>
          <w:lang w:val="en-US"/>
        </w:rPr>
        <w:t xml:space="preserve">  </w:t>
      </w:r>
      <w:r w:rsidRPr="00B404B3">
        <w:rPr>
          <w:rFonts w:cs="Times New Roman"/>
          <w:sz w:val="22"/>
          <w:szCs w:val="22"/>
          <w:lang w:val="en-US"/>
        </w:rPr>
        <w:t>- inhibition of the proliferation (%) calculated for C</w:t>
      </w:r>
      <w:r w:rsidRPr="00B404B3">
        <w:rPr>
          <w:rFonts w:cs="Times New Roman"/>
          <w:position w:val="-7"/>
          <w:sz w:val="22"/>
          <w:szCs w:val="22"/>
          <w:lang w:val="en-US"/>
        </w:rPr>
        <w:t>higher</w:t>
      </w:r>
      <w:r w:rsidRPr="00B404B3">
        <w:rPr>
          <w:rFonts w:cs="Times New Roman"/>
          <w:sz w:val="22"/>
          <w:szCs w:val="22"/>
          <w:lang w:val="en-US"/>
        </w:rPr>
        <w:t>.</w:t>
      </w:r>
    </w:p>
    <w:p w:rsidR="00B404B3" w:rsidRDefault="00B404B3" w:rsidP="00B404B3">
      <w:pPr>
        <w:pStyle w:val="Textbody"/>
        <w:spacing w:after="0"/>
        <w:jc w:val="both"/>
        <w:rPr>
          <w:lang w:val="en-US" w:eastAsia="pl-PL"/>
        </w:rPr>
      </w:pPr>
      <w:r>
        <w:rPr>
          <w:lang w:val="en-US" w:eastAsia="pl-PL"/>
        </w:rPr>
        <w:tab/>
        <w:t>It sometimes happens that one or both data points bracketing the 50% of inhibition of proliferation</w:t>
      </w:r>
      <w:r>
        <w:rPr>
          <w:lang w:val="en-GB" w:eastAsia="pl-PL"/>
        </w:rPr>
        <w:t xml:space="preserve"> have themselves 0% or 100% </w:t>
      </w:r>
      <w:r>
        <w:rPr>
          <w:lang w:val="en-US" w:eastAsia="pl-PL"/>
        </w:rPr>
        <w:t>of inhibition</w:t>
      </w:r>
      <w:r>
        <w:rPr>
          <w:lang w:val="en-GB" w:eastAsia="pl-PL"/>
        </w:rPr>
        <w:t xml:space="preserve">. This could occur if the applied dose range is too broad for a tested compound. In this case, the test has to be repeated with a narrower dose range. </w:t>
      </w:r>
      <w:proofErr w:type="spellStart"/>
      <w:r>
        <w:rPr>
          <w:lang w:val="en-GB" w:eastAsia="pl-PL"/>
        </w:rPr>
        <w:t>Cheburator</w:t>
      </w:r>
      <w:proofErr w:type="spellEnd"/>
      <w:r>
        <w:rPr>
          <w:lang w:val="en-GB" w:eastAsia="pl-PL"/>
        </w:rPr>
        <w:t xml:space="preserve"> supports such ranges.</w:t>
      </w:r>
    </w:p>
    <w:p w:rsidR="00B404B3" w:rsidRDefault="00B404B3" w:rsidP="00B404B3">
      <w:pPr>
        <w:pStyle w:val="Textbody"/>
        <w:spacing w:after="0"/>
        <w:jc w:val="both"/>
        <w:rPr>
          <w:lang w:val="en-GB" w:eastAsia="pl-PL"/>
        </w:rPr>
      </w:pPr>
    </w:p>
    <w:p w:rsidR="00B404B3" w:rsidRDefault="00B404B3" w:rsidP="00B404B3">
      <w:pPr>
        <w:pStyle w:val="Textbody"/>
        <w:spacing w:after="0"/>
        <w:jc w:val="both"/>
        <w:rPr>
          <w:i/>
          <w:iCs/>
          <w:sz w:val="22"/>
          <w:szCs w:val="22"/>
          <w:lang w:val="en-GB" w:eastAsia="pl-PL"/>
        </w:rPr>
      </w:pPr>
      <w:r>
        <w:rPr>
          <w:b/>
          <w:bCs/>
          <w:i/>
          <w:iCs/>
          <w:sz w:val="22"/>
          <w:szCs w:val="22"/>
          <w:u w:val="single"/>
          <w:lang w:val="en-GB" w:eastAsia="pl-PL"/>
        </w:rPr>
        <w:t>Example:</w:t>
      </w:r>
      <w:r>
        <w:rPr>
          <w:i/>
          <w:iCs/>
          <w:sz w:val="22"/>
          <w:szCs w:val="22"/>
          <w:lang w:val="en-GB" w:eastAsia="pl-PL"/>
        </w:rPr>
        <w:t xml:space="preserve"> Suppose (0.01; 0.1; 1; 10) </w:t>
      </w:r>
      <w:r>
        <w:rPr>
          <w:i/>
          <w:iCs/>
          <w:sz w:val="22"/>
          <w:szCs w:val="22"/>
          <w:lang w:val="en-US" w:eastAsia="pl-PL"/>
        </w:rPr>
        <w:t xml:space="preserve">µM dose range was applied. Two drug concentrations </w:t>
      </w:r>
      <w:r>
        <w:rPr>
          <w:i/>
          <w:iCs/>
          <w:sz w:val="22"/>
          <w:szCs w:val="22"/>
          <w:lang w:val="en-GB" w:eastAsia="pl-PL"/>
        </w:rPr>
        <w:t xml:space="preserve">0.1 </w:t>
      </w:r>
      <w:r>
        <w:rPr>
          <w:i/>
          <w:iCs/>
          <w:sz w:val="22"/>
          <w:szCs w:val="22"/>
          <w:lang w:val="en-US" w:eastAsia="pl-PL"/>
        </w:rPr>
        <w:t>µM and 1 µM</w:t>
      </w:r>
      <w:r>
        <w:rPr>
          <w:i/>
          <w:iCs/>
          <w:sz w:val="22"/>
          <w:szCs w:val="22"/>
          <w:lang w:val="en-GB" w:eastAsia="pl-PL"/>
        </w:rPr>
        <w:t xml:space="preserve"> </w:t>
      </w:r>
      <w:r>
        <w:rPr>
          <w:i/>
          <w:iCs/>
          <w:sz w:val="22"/>
          <w:szCs w:val="22"/>
          <w:lang w:val="en-US" w:eastAsia="pl-PL"/>
        </w:rPr>
        <w:t>bracketing the 50% of inhibition of proliferation</w:t>
      </w:r>
      <w:r>
        <w:rPr>
          <w:i/>
          <w:iCs/>
          <w:sz w:val="22"/>
          <w:szCs w:val="22"/>
          <w:lang w:val="en-GB" w:eastAsia="pl-PL"/>
        </w:rPr>
        <w:t xml:space="preserve"> have themselves resulted in 0% and 100% </w:t>
      </w:r>
      <w:r>
        <w:rPr>
          <w:i/>
          <w:iCs/>
          <w:sz w:val="22"/>
          <w:szCs w:val="22"/>
          <w:lang w:val="en-US" w:eastAsia="pl-PL"/>
        </w:rPr>
        <w:t>of inhibition of proliferation. In this case IC</w:t>
      </w:r>
      <w:r>
        <w:rPr>
          <w:i/>
          <w:iCs/>
          <w:sz w:val="22"/>
          <w:szCs w:val="22"/>
          <w:vertAlign w:val="subscript"/>
          <w:lang w:val="en-US" w:eastAsia="pl-PL"/>
        </w:rPr>
        <w:t xml:space="preserve">50 </w:t>
      </w:r>
      <w:r>
        <w:rPr>
          <w:i/>
          <w:iCs/>
          <w:sz w:val="22"/>
          <w:szCs w:val="22"/>
          <w:lang w:val="en-US" w:eastAsia="pl-PL"/>
        </w:rPr>
        <w:t>value will not be calculated due to uncertainty of the estimation. It is therefore reasonable to repeat the test for this compound using a narrower dose range, for example (0.1; 0.25; 0.5; 1)</w:t>
      </w:r>
      <w:r>
        <w:rPr>
          <w:i/>
          <w:iCs/>
          <w:sz w:val="22"/>
          <w:szCs w:val="22"/>
          <w:lang w:val="en-GB" w:eastAsia="pl-PL"/>
        </w:rPr>
        <w:t xml:space="preserve"> </w:t>
      </w:r>
      <w:r>
        <w:rPr>
          <w:i/>
          <w:iCs/>
          <w:sz w:val="22"/>
          <w:szCs w:val="22"/>
          <w:lang w:val="en-US" w:eastAsia="pl-PL"/>
        </w:rPr>
        <w:t>µM, which would provide better data for proper estimation of IC</w:t>
      </w:r>
      <w:r>
        <w:rPr>
          <w:i/>
          <w:iCs/>
          <w:sz w:val="22"/>
          <w:szCs w:val="22"/>
          <w:vertAlign w:val="subscript"/>
          <w:lang w:val="en-US" w:eastAsia="pl-PL"/>
        </w:rPr>
        <w:t xml:space="preserve">50 </w:t>
      </w:r>
      <w:r>
        <w:rPr>
          <w:i/>
          <w:iCs/>
          <w:sz w:val="22"/>
          <w:szCs w:val="22"/>
          <w:lang w:val="en-US" w:eastAsia="pl-PL"/>
        </w:rPr>
        <w:t>value.</w:t>
      </w:r>
    </w:p>
    <w:p w:rsidR="00B404B3" w:rsidRDefault="00B404B3" w:rsidP="00B404B3">
      <w:pPr>
        <w:pStyle w:val="Textbody"/>
        <w:spacing w:after="0"/>
        <w:jc w:val="both"/>
        <w:rPr>
          <w:i/>
          <w:iCs/>
          <w:lang w:val="en-US" w:eastAsia="pl-PL"/>
        </w:rPr>
      </w:pPr>
    </w:p>
    <w:p w:rsidR="00B404B3" w:rsidRDefault="00B404B3" w:rsidP="00B404B3">
      <w:pPr>
        <w:pStyle w:val="Standard"/>
        <w:jc w:val="both"/>
        <w:rPr>
          <w:lang w:val="en-US" w:eastAsia="pl-PL"/>
        </w:rPr>
      </w:pPr>
      <w:r>
        <w:rPr>
          <w:i/>
          <w:iCs/>
          <w:lang w:val="en-US" w:eastAsia="pl-PL"/>
        </w:rPr>
        <w:tab/>
      </w:r>
      <w:r>
        <w:rPr>
          <w:lang w:val="en-US" w:eastAsia="pl-PL"/>
        </w:rPr>
        <w:t>Another case in which proper estimation of IC</w:t>
      </w:r>
      <w:r>
        <w:rPr>
          <w:vertAlign w:val="subscript"/>
          <w:lang w:val="en-US" w:eastAsia="pl-PL"/>
        </w:rPr>
        <w:t xml:space="preserve">50 </w:t>
      </w:r>
      <w:r>
        <w:rPr>
          <w:lang w:val="en-US" w:eastAsia="pl-PL"/>
        </w:rPr>
        <w:t>value by the two-point method cannot be done is when there is very little difference between two data points bracketing the 50% of inhibition of proliferation. Therefore, IC</w:t>
      </w:r>
      <w:r>
        <w:rPr>
          <w:vertAlign w:val="subscript"/>
          <w:lang w:val="en-US" w:eastAsia="pl-PL"/>
        </w:rPr>
        <w:t xml:space="preserve">50 </w:t>
      </w:r>
      <w:r>
        <w:rPr>
          <w:lang w:val="en-US" w:eastAsia="pl-PL"/>
        </w:rPr>
        <w:t xml:space="preserve">value will not be estimated if one or both of the data points bracketing the 50% of inhibition are in the interval between 48% and 52%. The lowest and highest borders of this interval can be changed on the </w:t>
      </w:r>
      <w:r>
        <w:rPr>
          <w:b/>
          <w:bCs/>
          <w:lang w:val="en-US" w:eastAsia="pl-PL"/>
        </w:rPr>
        <w:t>Options</w:t>
      </w:r>
      <w:r>
        <w:rPr>
          <w:lang w:val="en-US" w:eastAsia="pl-PL"/>
        </w:rPr>
        <w:t xml:space="preserve"> page in the </w:t>
      </w:r>
      <w:r>
        <w:rPr>
          <w:b/>
          <w:bCs/>
          <w:lang w:val="en-US" w:eastAsia="pl-PL"/>
        </w:rPr>
        <w:t>Thresholds for IC</w:t>
      </w:r>
      <w:r>
        <w:rPr>
          <w:b/>
          <w:bCs/>
          <w:vertAlign w:val="subscript"/>
          <w:lang w:val="en-US" w:eastAsia="pl-PL"/>
        </w:rPr>
        <w:t>50</w:t>
      </w:r>
      <w:r>
        <w:rPr>
          <w:b/>
          <w:bCs/>
          <w:lang w:val="en-US" w:eastAsia="pl-PL"/>
        </w:rPr>
        <w:t xml:space="preserve"> value counting </w:t>
      </w:r>
      <w:r>
        <w:rPr>
          <w:lang w:val="en-US" w:eastAsia="pl-PL"/>
        </w:rPr>
        <w:t>edit boxes.</w:t>
      </w:r>
    </w:p>
    <w:p w:rsidR="00B404B3" w:rsidRDefault="00B404B3" w:rsidP="00B404B3">
      <w:pPr>
        <w:pStyle w:val="Textbody"/>
        <w:spacing w:after="0"/>
        <w:jc w:val="both"/>
        <w:rPr>
          <w:lang w:val="en-US" w:eastAsia="pl-PL"/>
        </w:rPr>
      </w:pPr>
    </w:p>
    <w:p w:rsidR="00B404B3" w:rsidRDefault="00B404B3" w:rsidP="00B404B3">
      <w:pPr>
        <w:pStyle w:val="Textbody"/>
        <w:spacing w:after="0"/>
        <w:jc w:val="both"/>
        <w:rPr>
          <w:lang w:val="en-US" w:eastAsia="pl-PL"/>
        </w:rPr>
      </w:pPr>
      <w:r>
        <w:rPr>
          <w:b/>
          <w:bCs/>
          <w:i/>
          <w:iCs/>
          <w:sz w:val="22"/>
          <w:szCs w:val="22"/>
          <w:u w:val="single"/>
          <w:lang w:val="en-GB" w:eastAsia="pl-PL"/>
        </w:rPr>
        <w:t>Example:</w:t>
      </w:r>
      <w:r>
        <w:rPr>
          <w:i/>
          <w:iCs/>
          <w:sz w:val="22"/>
          <w:szCs w:val="22"/>
          <w:lang w:val="en-GB" w:eastAsia="pl-PL"/>
        </w:rPr>
        <w:t xml:space="preserve"> Suppose t</w:t>
      </w:r>
      <w:proofErr w:type="spellStart"/>
      <w:r>
        <w:rPr>
          <w:i/>
          <w:iCs/>
          <w:sz w:val="22"/>
          <w:szCs w:val="22"/>
          <w:lang w:val="en-US" w:eastAsia="pl-PL"/>
        </w:rPr>
        <w:t>wo</w:t>
      </w:r>
      <w:proofErr w:type="spellEnd"/>
      <w:r>
        <w:rPr>
          <w:i/>
          <w:iCs/>
          <w:sz w:val="22"/>
          <w:szCs w:val="22"/>
          <w:lang w:val="en-US" w:eastAsia="pl-PL"/>
        </w:rPr>
        <w:t xml:space="preserve"> drug concentrations </w:t>
      </w:r>
      <w:r>
        <w:rPr>
          <w:i/>
          <w:iCs/>
          <w:sz w:val="22"/>
          <w:szCs w:val="22"/>
          <w:lang w:val="en-GB" w:eastAsia="pl-PL"/>
        </w:rPr>
        <w:t xml:space="preserve">0.1 </w:t>
      </w:r>
      <w:r>
        <w:rPr>
          <w:i/>
          <w:iCs/>
          <w:sz w:val="22"/>
          <w:szCs w:val="22"/>
          <w:lang w:val="en-US" w:eastAsia="pl-PL"/>
        </w:rPr>
        <w:t>µM and 1 µM</w:t>
      </w:r>
      <w:r>
        <w:rPr>
          <w:i/>
          <w:iCs/>
          <w:sz w:val="22"/>
          <w:szCs w:val="22"/>
          <w:lang w:val="en-GB" w:eastAsia="pl-PL"/>
        </w:rPr>
        <w:t xml:space="preserve"> </w:t>
      </w:r>
      <w:r>
        <w:rPr>
          <w:i/>
          <w:iCs/>
          <w:sz w:val="22"/>
          <w:szCs w:val="22"/>
          <w:lang w:val="en-US" w:eastAsia="pl-PL"/>
        </w:rPr>
        <w:t>bracketing the 50% of inhibition of proliferation</w:t>
      </w:r>
      <w:r>
        <w:rPr>
          <w:i/>
          <w:iCs/>
          <w:sz w:val="22"/>
          <w:szCs w:val="22"/>
          <w:lang w:val="en-GB" w:eastAsia="pl-PL"/>
        </w:rPr>
        <w:t xml:space="preserve"> have resulted in the 49% and 51% </w:t>
      </w:r>
      <w:r>
        <w:rPr>
          <w:i/>
          <w:iCs/>
          <w:sz w:val="22"/>
          <w:szCs w:val="22"/>
          <w:lang w:val="en-US" w:eastAsia="pl-PL"/>
        </w:rPr>
        <w:t>of inhibition of proliferation, respectively. In this case, the IC</w:t>
      </w:r>
      <w:r>
        <w:rPr>
          <w:i/>
          <w:iCs/>
          <w:sz w:val="22"/>
          <w:szCs w:val="22"/>
          <w:vertAlign w:val="subscript"/>
          <w:lang w:val="en-US" w:eastAsia="pl-PL"/>
        </w:rPr>
        <w:t xml:space="preserve">50 </w:t>
      </w:r>
      <w:r>
        <w:rPr>
          <w:i/>
          <w:iCs/>
          <w:sz w:val="22"/>
          <w:szCs w:val="22"/>
          <w:lang w:val="en-US" w:eastAsia="pl-PL"/>
        </w:rPr>
        <w:t xml:space="preserve">value will not be calculated due to the extremely narrow interval of percentage values and uncertainty of the estimation. </w:t>
      </w:r>
      <w:r>
        <w:rPr>
          <w:lang w:val="en-US" w:eastAsia="pl-PL"/>
        </w:rPr>
        <w:t xml:space="preserve">   </w:t>
      </w:r>
    </w:p>
    <w:p w:rsidR="00B404B3" w:rsidRDefault="00B404B3" w:rsidP="00710736">
      <w:pPr>
        <w:pStyle w:val="a8"/>
        <w:spacing w:after="0"/>
        <w:ind w:firstLine="720"/>
        <w:contextualSpacing/>
        <w:jc w:val="both"/>
        <w:rPr>
          <w:color w:val="auto"/>
        </w:rPr>
      </w:pPr>
    </w:p>
    <w:p w:rsidR="00206FAF" w:rsidRDefault="00710736" w:rsidP="00710736">
      <w:pPr>
        <w:pStyle w:val="a8"/>
        <w:spacing w:after="0"/>
        <w:ind w:firstLine="720"/>
        <w:contextualSpacing/>
        <w:jc w:val="both"/>
        <w:rPr>
          <w:color w:val="auto"/>
        </w:rPr>
      </w:pPr>
      <w:r w:rsidRPr="00710736">
        <w:rPr>
          <w:color w:val="auto"/>
        </w:rPr>
        <w:t>Due to the simplicity of the IC</w:t>
      </w:r>
      <w:r w:rsidRPr="00710736">
        <w:rPr>
          <w:color w:val="auto"/>
          <w:vertAlign w:val="subscript"/>
        </w:rPr>
        <w:t>50</w:t>
      </w:r>
      <w:r w:rsidRPr="00710736">
        <w:rPr>
          <w:color w:val="auto"/>
        </w:rPr>
        <w:t xml:space="preserve"> calculation in this method, program does not report 95% confidence intervals for its value in this case. </w:t>
      </w:r>
      <w:r w:rsidRPr="00710736">
        <w:rPr>
          <w:color w:val="auto"/>
        </w:rPr>
        <w:tab/>
      </w:r>
    </w:p>
    <w:p w:rsidR="00206FAF" w:rsidRDefault="00206FAF">
      <w:pPr>
        <w:rPr>
          <w:rFonts w:cs="Times New Roman"/>
          <w:b/>
          <w:i/>
          <w:kern w:val="0"/>
          <w:lang w:val="en-US"/>
        </w:rPr>
      </w:pPr>
      <w:r>
        <w:rPr>
          <w:b/>
          <w:i/>
        </w:rPr>
        <w:br w:type="page"/>
      </w:r>
    </w:p>
    <w:p w:rsidR="00710736" w:rsidRDefault="00710736" w:rsidP="00206FAF">
      <w:pPr>
        <w:pStyle w:val="a8"/>
        <w:spacing w:after="0"/>
        <w:contextualSpacing/>
        <w:jc w:val="both"/>
        <w:rPr>
          <w:lang w:eastAsia="pl-PL"/>
        </w:rPr>
      </w:pPr>
      <w:r w:rsidRPr="00206FAF">
        <w:rPr>
          <w:b/>
          <w:i/>
          <w:color w:val="auto"/>
        </w:rPr>
        <w:lastRenderedPageBreak/>
        <w:t>Linear regression method</w:t>
      </w:r>
      <w:r w:rsidRPr="00206FAF">
        <w:rPr>
          <w:b/>
          <w:color w:val="auto"/>
        </w:rPr>
        <w:t xml:space="preserve">. </w:t>
      </w:r>
      <w:r w:rsidRPr="00710736">
        <w:rPr>
          <w:color w:val="auto"/>
        </w:rPr>
        <w:t>In this method of calculating the IC</w:t>
      </w:r>
      <w:r w:rsidRPr="00710736">
        <w:rPr>
          <w:color w:val="auto"/>
          <w:vertAlign w:val="subscript"/>
        </w:rPr>
        <w:t xml:space="preserve">50 </w:t>
      </w:r>
      <w:r w:rsidRPr="00710736">
        <w:rPr>
          <w:color w:val="auto"/>
        </w:rPr>
        <w:t xml:space="preserve">value, the linear regression line is built on the basis of all the data points for which the calculated percent of inhibition is more than 0% and less than 100% (solid red line in </w:t>
      </w:r>
      <w:bookmarkStart w:id="12" w:name="OLE_LINK5"/>
      <w:bookmarkStart w:id="13" w:name="OLE_LINK6"/>
      <w:bookmarkStart w:id="14" w:name="OLE_LINK7"/>
      <w:bookmarkStart w:id="15" w:name="OLE_LINK8"/>
      <w:r w:rsidRPr="00710736">
        <w:rPr>
          <w:b/>
          <w:color w:val="auto"/>
        </w:rPr>
        <w:t xml:space="preserve">Figure </w:t>
      </w:r>
      <w:r w:rsidR="00206FAF">
        <w:rPr>
          <w:b/>
          <w:color w:val="auto"/>
        </w:rPr>
        <w:t>6</w:t>
      </w:r>
      <w:r w:rsidRPr="00710736">
        <w:rPr>
          <w:b/>
          <w:color w:val="auto"/>
        </w:rPr>
        <w:t>B</w:t>
      </w:r>
      <w:r w:rsidRPr="00710736">
        <w:rPr>
          <w:color w:val="auto"/>
        </w:rPr>
        <w:t xml:space="preserve">). </w:t>
      </w:r>
      <w:bookmarkEnd w:id="12"/>
      <w:bookmarkEnd w:id="13"/>
      <w:bookmarkEnd w:id="14"/>
      <w:bookmarkEnd w:id="15"/>
      <w:r w:rsidRPr="00710736">
        <w:rPr>
          <w:color w:val="auto"/>
        </w:rPr>
        <w:t xml:space="preserve">The intercept and slope of this line are calculated and used </w:t>
      </w:r>
      <w:bookmarkStart w:id="16" w:name="OLE_LINK9"/>
      <w:bookmarkStart w:id="17" w:name="OLE_LINK10"/>
      <w:bookmarkStart w:id="18" w:name="OLE_LINK11"/>
      <w:r w:rsidRPr="00710736">
        <w:rPr>
          <w:color w:val="auto"/>
        </w:rPr>
        <w:t>to estimate the IC</w:t>
      </w:r>
      <w:r w:rsidRPr="00710736">
        <w:rPr>
          <w:color w:val="auto"/>
          <w:vertAlign w:val="subscript"/>
        </w:rPr>
        <w:t xml:space="preserve">50 </w:t>
      </w:r>
      <w:r w:rsidRPr="00710736">
        <w:rPr>
          <w:color w:val="auto"/>
        </w:rPr>
        <w:t xml:space="preserve">value </w:t>
      </w:r>
      <w:bookmarkStart w:id="19" w:name="OLE_LINK12"/>
      <w:bookmarkStart w:id="20" w:name="OLE_LINK13"/>
      <w:bookmarkEnd w:id="16"/>
      <w:bookmarkEnd w:id="17"/>
      <w:bookmarkEnd w:id="18"/>
      <w:r w:rsidRPr="00710736">
        <w:rPr>
          <w:color w:val="auto"/>
        </w:rPr>
        <w:t>(red arrow and IC</w:t>
      </w:r>
      <w:r w:rsidRPr="00710736">
        <w:rPr>
          <w:color w:val="auto"/>
          <w:vertAlign w:val="subscript"/>
        </w:rPr>
        <w:t xml:space="preserve">50 </w:t>
      </w:r>
      <w:r w:rsidRPr="00710736">
        <w:rPr>
          <w:color w:val="auto"/>
        </w:rPr>
        <w:t xml:space="preserve">value in </w:t>
      </w:r>
      <w:r w:rsidRPr="00710736">
        <w:rPr>
          <w:b/>
          <w:color w:val="auto"/>
        </w:rPr>
        <w:t xml:space="preserve">Figure </w:t>
      </w:r>
      <w:r w:rsidR="00206FAF">
        <w:rPr>
          <w:b/>
          <w:color w:val="auto"/>
        </w:rPr>
        <w:t>6</w:t>
      </w:r>
      <w:r w:rsidRPr="00710736">
        <w:rPr>
          <w:b/>
          <w:color w:val="auto"/>
        </w:rPr>
        <w:t>B</w:t>
      </w:r>
      <w:r w:rsidRPr="00710736">
        <w:rPr>
          <w:color w:val="auto"/>
        </w:rPr>
        <w:t>)</w:t>
      </w:r>
      <w:bookmarkEnd w:id="19"/>
      <w:bookmarkEnd w:id="20"/>
      <w:r w:rsidRPr="00710736">
        <w:rPr>
          <w:color w:val="auto"/>
        </w:rPr>
        <w:t xml:space="preserve">. </w:t>
      </w:r>
      <w:r w:rsidRPr="00710736">
        <w:rPr>
          <w:lang w:eastAsia="pl-PL"/>
        </w:rPr>
        <w:t xml:space="preserve">However, this method assumes a linear </w:t>
      </w:r>
      <w:r w:rsidRPr="00710736">
        <w:rPr>
          <w:color w:val="auto"/>
        </w:rPr>
        <w:t xml:space="preserve">relationship in the entire dose-response curve, which is rarely the case as it typically has a </w:t>
      </w:r>
      <w:proofErr w:type="spellStart"/>
      <w:r w:rsidRPr="00710736">
        <w:rPr>
          <w:color w:val="auto"/>
        </w:rPr>
        <w:t>sigmoidal</w:t>
      </w:r>
      <w:proofErr w:type="spellEnd"/>
      <w:r w:rsidRPr="00710736">
        <w:rPr>
          <w:color w:val="auto"/>
        </w:rPr>
        <w:t xml:space="preserve"> shape</w:t>
      </w:r>
      <w:r w:rsidRPr="00710736">
        <w:rPr>
          <w:lang w:eastAsia="pl-PL"/>
        </w:rPr>
        <w:t>. To employ this method for proper IC</w:t>
      </w:r>
      <w:r w:rsidRPr="00710736">
        <w:rPr>
          <w:vertAlign w:val="subscript"/>
          <w:lang w:eastAsia="pl-PL"/>
        </w:rPr>
        <w:t>50</w:t>
      </w:r>
      <w:r w:rsidRPr="00710736">
        <w:rPr>
          <w:lang w:eastAsia="pl-PL"/>
        </w:rPr>
        <w:t xml:space="preserve"> calculation, it usually has to be combined with the transformation of 1 or both axes to ensure the proper conversion of the dose-response curve into the linear approximation. The abscissa axis (doses) can be analyzed in either logarithmic scale with the base 2, 5, and 10 (default) or linear scale. The ordinate axis (percent of inhibition), which is linear by default, can also be analyzed using </w:t>
      </w:r>
      <w:proofErr w:type="spellStart"/>
      <w:r w:rsidRPr="00710736">
        <w:rPr>
          <w:lang w:eastAsia="pl-PL"/>
        </w:rPr>
        <w:t>probit</w:t>
      </w:r>
      <w:proofErr w:type="spellEnd"/>
      <w:r w:rsidRPr="00710736">
        <w:rPr>
          <w:lang w:eastAsia="pl-PL"/>
        </w:rPr>
        <w:t xml:space="preserve">, </w:t>
      </w:r>
      <w:proofErr w:type="spellStart"/>
      <w:r w:rsidRPr="00710736">
        <w:rPr>
          <w:lang w:eastAsia="pl-PL"/>
        </w:rPr>
        <w:t>logit</w:t>
      </w:r>
      <w:proofErr w:type="spellEnd"/>
      <w:r w:rsidRPr="00710736">
        <w:rPr>
          <w:lang w:eastAsia="pl-PL"/>
        </w:rPr>
        <w:t>, or logarithmic transformations. Goodness of fit in linear regression analysis and therefore the reliability of IC</w:t>
      </w:r>
      <w:r w:rsidRPr="00710736">
        <w:rPr>
          <w:vertAlign w:val="subscript"/>
          <w:lang w:eastAsia="pl-PL"/>
        </w:rPr>
        <w:t>50</w:t>
      </w:r>
      <w:r w:rsidRPr="00710736">
        <w:rPr>
          <w:lang w:eastAsia="pl-PL"/>
        </w:rPr>
        <w:t xml:space="preserve"> calculation for each particular compound can be assessed using </w:t>
      </w:r>
      <w:r w:rsidRPr="00710736">
        <w:rPr>
          <w:i/>
          <w:lang w:eastAsia="pl-PL"/>
        </w:rPr>
        <w:t>r</w:t>
      </w:r>
      <w:r w:rsidRPr="00710736">
        <w:rPr>
          <w:i/>
          <w:vertAlign w:val="superscript"/>
          <w:lang w:eastAsia="pl-PL"/>
        </w:rPr>
        <w:t>2</w:t>
      </w:r>
      <w:r w:rsidRPr="00710736">
        <w:rPr>
          <w:lang w:eastAsia="pl-PL"/>
        </w:rPr>
        <w:t xml:space="preserve"> values reported by the program. If linear regression method is chosen for the IC</w:t>
      </w:r>
      <w:r w:rsidRPr="00710736">
        <w:rPr>
          <w:vertAlign w:val="subscript"/>
          <w:lang w:eastAsia="pl-PL"/>
        </w:rPr>
        <w:t>50</w:t>
      </w:r>
      <w:r w:rsidRPr="00710736">
        <w:rPr>
          <w:lang w:eastAsia="pl-PL"/>
        </w:rPr>
        <w:t xml:space="preserve"> value calculation, our program also reports </w:t>
      </w:r>
      <w:r w:rsidRPr="00710736">
        <w:rPr>
          <w:color w:val="auto"/>
        </w:rPr>
        <w:t>95% confidence intervals for its value, estimated using the semi-parametric bootstrapping method</w:t>
      </w:r>
      <w:r w:rsidRPr="00710736">
        <w:rPr>
          <w:lang w:eastAsia="pl-PL"/>
        </w:rPr>
        <w:t xml:space="preserve">. </w:t>
      </w:r>
    </w:p>
    <w:p w:rsidR="00206FAF" w:rsidRPr="00710736" w:rsidRDefault="00206FAF" w:rsidP="00206FAF">
      <w:pPr>
        <w:pStyle w:val="a8"/>
        <w:spacing w:after="0"/>
        <w:contextualSpacing/>
        <w:jc w:val="both"/>
        <w:rPr>
          <w:color w:val="auto"/>
        </w:rPr>
      </w:pPr>
    </w:p>
    <w:p w:rsidR="00710736" w:rsidRPr="00710736" w:rsidRDefault="00710736" w:rsidP="00206FAF">
      <w:pPr>
        <w:pStyle w:val="a8"/>
        <w:spacing w:after="0"/>
        <w:contextualSpacing/>
        <w:jc w:val="both"/>
        <w:rPr>
          <w:lang w:val="en-GB" w:eastAsia="pl-PL"/>
        </w:rPr>
      </w:pPr>
      <w:r w:rsidRPr="00206FAF">
        <w:rPr>
          <w:b/>
          <w:i/>
          <w:color w:val="auto"/>
        </w:rPr>
        <w:t>Nonlinear regression method</w:t>
      </w:r>
      <w:r w:rsidRPr="00206FAF">
        <w:rPr>
          <w:b/>
          <w:color w:val="auto"/>
        </w:rPr>
        <w:t>.</w:t>
      </w:r>
      <w:r w:rsidRPr="00710736">
        <w:rPr>
          <w:color w:val="auto"/>
        </w:rPr>
        <w:t xml:space="preserve"> This method is currently considered to be "state-of-the-art" for IC</w:t>
      </w:r>
      <w:r w:rsidRPr="00710736">
        <w:rPr>
          <w:color w:val="auto"/>
          <w:vertAlign w:val="subscript"/>
        </w:rPr>
        <w:t>50</w:t>
      </w:r>
      <w:r w:rsidRPr="00710736">
        <w:rPr>
          <w:color w:val="auto"/>
        </w:rPr>
        <w:t xml:space="preserve"> calculation and is used in our software by default. We strongly encourage users of the software to use this method of IC</w:t>
      </w:r>
      <w:r w:rsidRPr="00710736">
        <w:rPr>
          <w:color w:val="auto"/>
          <w:vertAlign w:val="subscript"/>
        </w:rPr>
        <w:t>50</w:t>
      </w:r>
      <w:r w:rsidRPr="00710736">
        <w:rPr>
          <w:color w:val="auto"/>
        </w:rPr>
        <w:t xml:space="preserve"> calculation as it does not require linear relationship between drug dose and percent of inhibition and uses all data points from the test, unless they were specifically discarded from the analysis (see below). Logistic model, which is the common way of analyzing </w:t>
      </w:r>
      <w:proofErr w:type="spellStart"/>
      <w:r w:rsidRPr="00710736">
        <w:rPr>
          <w:color w:val="auto"/>
        </w:rPr>
        <w:t>sigmoidal</w:t>
      </w:r>
      <w:proofErr w:type="spellEnd"/>
      <w:r w:rsidRPr="00710736">
        <w:rPr>
          <w:color w:val="auto"/>
        </w:rPr>
        <w:t xml:space="preserve"> dose-response relationships</w:t>
      </w:r>
      <w:r w:rsidR="00E326FE" w:rsidRPr="00710736">
        <w:rPr>
          <w:color w:val="auto"/>
        </w:rPr>
        <w:fldChar w:fldCharType="begin"/>
      </w:r>
      <w:r w:rsidRPr="00710736">
        <w:rPr>
          <w:color w:val="auto"/>
        </w:rPr>
        <w:instrText xml:space="preserve"> ADDIN REFMGR.CITE &lt;Refman&gt;&lt;Cite&gt;&lt;Author&gt;Sebaugh&lt;/Author&gt;&lt;Year&gt;2011&lt;/Year&gt;&lt;RecNum&gt;87&lt;/RecNum&gt;&lt;IDText&gt;Guidelines for accurate EC50/IC50 estimation&lt;/IDText&gt;&lt;MDL Ref_Type="Journal"&gt;&lt;Ref_Type&gt;Journal&lt;/Ref_Type&gt;&lt;Ref_ID&gt;87&lt;/Ref_ID&gt;&lt;Title_Primary&gt;Guidelines for accurate EC50/IC50 estimation&lt;/Title_Primary&gt;&lt;Authors_Primary&gt;Sebaugh,J.L.&lt;/Authors_Primary&gt;&lt;Date_Primary&gt;2011/3&lt;/Date_Primary&gt;&lt;Keywords&gt;Guidelines as Topic&lt;/Keywords&gt;&lt;Keywords&gt;Humans&lt;/Keywords&gt;&lt;Keywords&gt;Inhibitory Concentration 50&lt;/Keywords&gt;&lt;Keywords&gt;Logistic Models&lt;/Keywords&gt;&lt;Reprint&gt;Not in File&lt;/Reprint&gt;&lt;Start_Page&gt;128&lt;/Start_Page&gt;&lt;End_Page&gt;134&lt;/End_Page&gt;&lt;Periodical&gt;Pharm.Stat.&lt;/Periodical&gt;&lt;Volume&gt;10&lt;/Volume&gt;&lt;Issue&gt;2&lt;/Issue&gt;&lt;Misc_3&gt;10.1002/pst.426 [doi]&lt;/Misc_3&gt;&lt;Address&gt;Sebaugh&amp;apos;s Information Services, Columbia, MO 65203, USA. sis.stat@centurytel.net&lt;/Address&gt;&lt;Web_URL&gt;PM:22328315&lt;/Web_URL&gt;&lt;ZZ_JournalStdAbbrev&gt;&lt;f name="System"&gt;Pharm.Stat.&lt;/f&gt;&lt;/ZZ_JournalStdAbbrev&gt;&lt;ZZ_WorkformID&gt;1&lt;/ZZ_WorkformID&gt;&lt;/MDL&gt;&lt;/Cite&gt;&lt;/Refman&gt;</w:instrText>
      </w:r>
      <w:r w:rsidR="00E326FE" w:rsidRPr="00710736">
        <w:rPr>
          <w:color w:val="auto"/>
        </w:rPr>
        <w:fldChar w:fldCharType="end"/>
      </w:r>
      <w:r w:rsidRPr="00710736">
        <w:rPr>
          <w:color w:val="auto"/>
        </w:rPr>
        <w:t xml:space="preserve">, is used for fitting (solid blue line in </w:t>
      </w:r>
      <w:r w:rsidRPr="00710736">
        <w:rPr>
          <w:b/>
          <w:color w:val="auto"/>
        </w:rPr>
        <w:t xml:space="preserve">Figure </w:t>
      </w:r>
      <w:r w:rsidR="00206FAF">
        <w:rPr>
          <w:b/>
          <w:color w:val="auto"/>
        </w:rPr>
        <w:t>6</w:t>
      </w:r>
      <w:r w:rsidRPr="00710736">
        <w:rPr>
          <w:b/>
          <w:color w:val="auto"/>
        </w:rPr>
        <w:t>B</w:t>
      </w:r>
      <w:r w:rsidRPr="00710736">
        <w:rPr>
          <w:color w:val="auto"/>
        </w:rPr>
        <w:t>) and for estimation of the IC</w:t>
      </w:r>
      <w:r w:rsidRPr="00710736">
        <w:rPr>
          <w:color w:val="auto"/>
          <w:vertAlign w:val="subscript"/>
        </w:rPr>
        <w:t xml:space="preserve">50 </w:t>
      </w:r>
      <w:r w:rsidRPr="00710736">
        <w:rPr>
          <w:color w:val="auto"/>
        </w:rPr>
        <w:t>value (blue curve, arrow and IC</w:t>
      </w:r>
      <w:r w:rsidRPr="00710736">
        <w:rPr>
          <w:color w:val="auto"/>
          <w:vertAlign w:val="subscript"/>
        </w:rPr>
        <w:t xml:space="preserve">50 </w:t>
      </w:r>
      <w:r w:rsidRPr="00710736">
        <w:rPr>
          <w:color w:val="auto"/>
        </w:rPr>
        <w:t xml:space="preserve">value in </w:t>
      </w:r>
      <w:r w:rsidRPr="00710736">
        <w:rPr>
          <w:b/>
          <w:color w:val="auto"/>
        </w:rPr>
        <w:t xml:space="preserve">Figure </w:t>
      </w:r>
      <w:r w:rsidR="00206FAF">
        <w:rPr>
          <w:b/>
          <w:color w:val="auto"/>
        </w:rPr>
        <w:t>6</w:t>
      </w:r>
      <w:r w:rsidRPr="00710736">
        <w:rPr>
          <w:b/>
          <w:color w:val="auto"/>
        </w:rPr>
        <w:t>B</w:t>
      </w:r>
      <w:r w:rsidRPr="00710736">
        <w:rPr>
          <w:color w:val="auto"/>
        </w:rPr>
        <w:t>)</w:t>
      </w:r>
      <w:r w:rsidR="00843872">
        <w:rPr>
          <w:color w:val="auto"/>
        </w:rPr>
        <w:t xml:space="preserve"> and I</w:t>
      </w:r>
      <w:r w:rsidR="00843872" w:rsidRPr="00843872">
        <w:rPr>
          <w:color w:val="auto"/>
          <w:vertAlign w:val="subscript"/>
        </w:rPr>
        <w:t>max</w:t>
      </w:r>
      <w:r w:rsidRPr="00710736">
        <w:rPr>
          <w:color w:val="auto"/>
        </w:rPr>
        <w:t>. Similarly to linear regression, program calculates R</w:t>
      </w:r>
      <w:r w:rsidRPr="00710736">
        <w:rPr>
          <w:color w:val="auto"/>
          <w:vertAlign w:val="superscript"/>
        </w:rPr>
        <w:t>2</w:t>
      </w:r>
      <w:r w:rsidRPr="00710736">
        <w:rPr>
          <w:color w:val="auto"/>
        </w:rPr>
        <w:t xml:space="preserve"> value, which is used to assess goodness of fit. The closer R</w:t>
      </w:r>
      <w:r w:rsidRPr="00710736">
        <w:rPr>
          <w:color w:val="auto"/>
          <w:vertAlign w:val="superscript"/>
        </w:rPr>
        <w:t>2</w:t>
      </w:r>
      <w:r w:rsidRPr="00710736">
        <w:rPr>
          <w:color w:val="auto"/>
        </w:rPr>
        <w:t xml:space="preserve"> value is to 1, the better the model fits the data and the higher the accuracy of IC</w:t>
      </w:r>
      <w:r w:rsidRPr="00710736">
        <w:rPr>
          <w:color w:val="auto"/>
          <w:vertAlign w:val="subscript"/>
        </w:rPr>
        <w:t>50</w:t>
      </w:r>
      <w:r w:rsidRPr="00710736">
        <w:rPr>
          <w:color w:val="auto"/>
        </w:rPr>
        <w:t xml:space="preserve"> estimation. In the case of nonlinear regression analysis, program also calculates and reports 95% confidence intervals for IC</w:t>
      </w:r>
      <w:r w:rsidRPr="00710736">
        <w:rPr>
          <w:color w:val="auto"/>
          <w:vertAlign w:val="subscript"/>
        </w:rPr>
        <w:t>50</w:t>
      </w:r>
      <w:r w:rsidRPr="00710736">
        <w:rPr>
          <w:color w:val="auto"/>
        </w:rPr>
        <w:t xml:space="preserve"> value, estimated using the semi-parametric bootstrapping method</w:t>
      </w:r>
      <w:r w:rsidR="00206FAF">
        <w:rPr>
          <w:color w:val="auto"/>
        </w:rPr>
        <w:t>.</w:t>
      </w:r>
      <w:r w:rsidRPr="00710736">
        <w:rPr>
          <w:color w:val="auto"/>
        </w:rPr>
        <w:t xml:space="preserve"> </w:t>
      </w:r>
    </w:p>
    <w:p w:rsidR="00710736" w:rsidRPr="00710736" w:rsidRDefault="00710736" w:rsidP="00710736">
      <w:pPr>
        <w:pStyle w:val="a8"/>
        <w:spacing w:after="0"/>
        <w:ind w:firstLine="720"/>
        <w:contextualSpacing/>
        <w:jc w:val="both"/>
        <w:rPr>
          <w:color w:val="auto"/>
        </w:rPr>
      </w:pPr>
      <w:r w:rsidRPr="00710736">
        <w:rPr>
          <w:lang w:val="en-GB" w:eastAsia="pl-PL"/>
        </w:rPr>
        <w:t xml:space="preserve">We recommend that the tests for each compound are repeated several times in independent assays, followed by the calculation of geometric mean of </w:t>
      </w:r>
      <w:r w:rsidRPr="00710736">
        <w:rPr>
          <w:lang w:eastAsia="pl-PL"/>
        </w:rPr>
        <w:t>IC</w:t>
      </w:r>
      <w:r w:rsidRPr="00710736">
        <w:rPr>
          <w:vertAlign w:val="subscript"/>
          <w:lang w:eastAsia="pl-PL"/>
        </w:rPr>
        <w:t xml:space="preserve">50 </w:t>
      </w:r>
      <w:r w:rsidRPr="00710736">
        <w:rPr>
          <w:lang w:val="en-GB" w:eastAsia="pl-PL"/>
        </w:rPr>
        <w:t xml:space="preserve">values and its </w:t>
      </w:r>
      <w:r w:rsidRPr="00710736">
        <w:rPr>
          <w:color w:val="auto"/>
        </w:rPr>
        <w:t>95% confidence interval</w:t>
      </w:r>
      <w:r w:rsidRPr="00710736">
        <w:rPr>
          <w:lang w:eastAsia="pl-PL"/>
        </w:rPr>
        <w:t>. The geometric mean is statistically the most appropriate averaging method for IC</w:t>
      </w:r>
      <w:r w:rsidRPr="00710736">
        <w:rPr>
          <w:vertAlign w:val="subscript"/>
          <w:lang w:eastAsia="pl-PL"/>
        </w:rPr>
        <w:t>50</w:t>
      </w:r>
      <w:r w:rsidRPr="00710736">
        <w:rPr>
          <w:lang w:eastAsia="pl-PL"/>
        </w:rPr>
        <w:t xml:space="preserve"> values, due to the fact that they follow log-normal distribution.</w:t>
      </w:r>
    </w:p>
    <w:p w:rsidR="008B643A" w:rsidRDefault="00204C39">
      <w:pPr>
        <w:pStyle w:val="Tekstpodstawowy3"/>
        <w:autoSpaceDE/>
        <w:rPr>
          <w:lang w:eastAsia="pl-PL"/>
        </w:rPr>
      </w:pPr>
      <w:r>
        <w:rPr>
          <w:lang w:eastAsia="pl-PL"/>
        </w:rPr>
        <w:tab/>
        <w:t xml:space="preserve"> </w:t>
      </w:r>
      <w:r>
        <w:rPr>
          <w:lang w:val="en-GB" w:eastAsia="pl-PL"/>
        </w:rPr>
        <w:t xml:space="preserve">  </w:t>
      </w:r>
    </w:p>
    <w:p w:rsidR="008B643A" w:rsidRDefault="00204C39">
      <w:pPr>
        <w:pStyle w:val="Tekstpodstawowy3"/>
        <w:autoSpaceDE/>
        <w:rPr>
          <w:lang w:val="en-GB" w:eastAsia="pl-PL"/>
        </w:rPr>
      </w:pPr>
      <w:r>
        <w:rPr>
          <w:lang w:val="en-GB" w:eastAsia="pl-PL"/>
        </w:rPr>
        <w:tab/>
      </w:r>
    </w:p>
    <w:p w:rsidR="008B643A" w:rsidRDefault="00204C39">
      <w:pPr>
        <w:pStyle w:val="Tekstpodstawowy3"/>
        <w:autoSpaceDE/>
        <w:rPr>
          <w:lang w:eastAsia="pl-PL"/>
        </w:rPr>
      </w:pPr>
      <w:r>
        <w:rPr>
          <w:lang w:eastAsia="pl-PL"/>
        </w:rPr>
        <w:tab/>
      </w:r>
    </w:p>
    <w:p w:rsidR="008B643A" w:rsidRDefault="008B643A">
      <w:pPr>
        <w:pStyle w:val="Standard"/>
        <w:jc w:val="both"/>
        <w:rPr>
          <w:lang w:val="en-US" w:eastAsia="pl-PL"/>
        </w:rPr>
      </w:pPr>
    </w:p>
    <w:p w:rsidR="008B643A" w:rsidRDefault="008B643A">
      <w:pPr>
        <w:pStyle w:val="Standard"/>
        <w:jc w:val="both"/>
        <w:rPr>
          <w:lang w:val="en-US" w:eastAsia="pl-PL"/>
        </w:rPr>
      </w:pPr>
    </w:p>
    <w:p w:rsidR="008B643A" w:rsidRDefault="008B643A">
      <w:pPr>
        <w:pStyle w:val="Standard"/>
        <w:jc w:val="both"/>
        <w:rPr>
          <w:lang w:val="en-US" w:eastAsia="pl-PL"/>
        </w:rPr>
      </w:pPr>
    </w:p>
    <w:p w:rsidR="008B643A" w:rsidRDefault="008B643A">
      <w:pPr>
        <w:pStyle w:val="Textbody"/>
        <w:spacing w:after="0"/>
        <w:rPr>
          <w:b/>
          <w:bCs/>
          <w:i/>
          <w:iCs/>
          <w:lang w:val="en-US"/>
        </w:rPr>
      </w:pPr>
    </w:p>
    <w:p w:rsidR="008B643A" w:rsidRPr="000A4C03" w:rsidRDefault="00204C39">
      <w:pPr>
        <w:pStyle w:val="Heading21"/>
        <w:pageBreakBefore/>
        <w:rPr>
          <w:rFonts w:ascii="Times New Roman" w:hAnsi="Times New Roman"/>
          <w:color w:val="000080"/>
          <w:sz w:val="24"/>
          <w:szCs w:val="24"/>
          <w:lang w:val="en-US"/>
        </w:rPr>
      </w:pPr>
      <w:bookmarkStart w:id="21" w:name="_Toc388197852"/>
      <w:r w:rsidRPr="000A4C03">
        <w:rPr>
          <w:rFonts w:ascii="Times New Roman" w:hAnsi="Times New Roman"/>
          <w:color w:val="000080"/>
          <w:sz w:val="24"/>
          <w:szCs w:val="24"/>
          <w:lang w:val="en-US"/>
        </w:rPr>
        <w:lastRenderedPageBreak/>
        <w:t>3.</w:t>
      </w:r>
      <w:r w:rsidR="00710736">
        <w:rPr>
          <w:rFonts w:ascii="Times New Roman" w:hAnsi="Times New Roman"/>
          <w:color w:val="000080"/>
          <w:sz w:val="24"/>
          <w:szCs w:val="24"/>
          <w:lang w:val="en-US"/>
        </w:rPr>
        <w:t>6</w:t>
      </w:r>
      <w:r w:rsidRPr="000A4C03">
        <w:rPr>
          <w:rFonts w:ascii="Times New Roman" w:hAnsi="Times New Roman"/>
          <w:color w:val="000080"/>
          <w:sz w:val="24"/>
          <w:szCs w:val="24"/>
          <w:lang w:val="en-US"/>
        </w:rPr>
        <w:t>. Results of the analysis and their interpretation</w:t>
      </w:r>
      <w:bookmarkEnd w:id="21"/>
    </w:p>
    <w:p w:rsidR="008B643A" w:rsidRDefault="008B643A">
      <w:pPr>
        <w:pStyle w:val="Textbody"/>
        <w:spacing w:after="0"/>
        <w:rPr>
          <w:lang w:val="en-US"/>
        </w:rPr>
      </w:pPr>
    </w:p>
    <w:p w:rsidR="008B643A" w:rsidRDefault="00204C39">
      <w:pPr>
        <w:pStyle w:val="Standard"/>
        <w:jc w:val="both"/>
        <w:rPr>
          <w:lang w:val="en-US" w:eastAsia="pl-PL"/>
        </w:rPr>
      </w:pPr>
      <w:r>
        <w:rPr>
          <w:lang w:val="en-US" w:eastAsia="pl-PL"/>
        </w:rPr>
        <w:tab/>
        <w:t xml:space="preserve">After running the analysis by pressing the </w:t>
      </w:r>
      <w:r>
        <w:rPr>
          <w:b/>
          <w:bCs/>
          <w:lang w:val="en-US" w:eastAsia="pl-PL"/>
        </w:rPr>
        <w:t>Calculate</w:t>
      </w:r>
      <w:r>
        <w:rPr>
          <w:lang w:val="en-US" w:eastAsia="pl-PL"/>
        </w:rPr>
        <w:t xml:space="preserve"> button, two additional </w:t>
      </w:r>
      <w:r>
        <w:rPr>
          <w:b/>
          <w:bCs/>
          <w:lang w:val="en-US" w:eastAsia="pl-PL"/>
        </w:rPr>
        <w:t>Results</w:t>
      </w:r>
      <w:r>
        <w:rPr>
          <w:lang w:val="en-US" w:eastAsia="pl-PL"/>
        </w:rPr>
        <w:t xml:space="preserve"> and </w:t>
      </w:r>
      <w:r>
        <w:rPr>
          <w:b/>
          <w:bCs/>
          <w:lang w:val="en-US" w:eastAsia="pl-PL"/>
        </w:rPr>
        <w:t xml:space="preserve">Graphs </w:t>
      </w:r>
      <w:r>
        <w:rPr>
          <w:lang w:val="en-US" w:eastAsia="pl-PL"/>
        </w:rPr>
        <w:t>pages become available (</w:t>
      </w:r>
      <w:r>
        <w:rPr>
          <w:b/>
          <w:bCs/>
          <w:lang w:val="en-US" w:eastAsia="pl-PL"/>
        </w:rPr>
        <w:t>Figure 7, Figure 8</w:t>
      </w:r>
      <w:r>
        <w:rPr>
          <w:lang w:val="en-US" w:eastAsia="pl-PL"/>
        </w:rPr>
        <w:t xml:space="preserve">). There is </w:t>
      </w:r>
      <w:r w:rsidR="00370843">
        <w:rPr>
          <w:lang w:val="en-US" w:eastAsia="pl-PL"/>
        </w:rPr>
        <w:t xml:space="preserve">a </w:t>
      </w:r>
      <w:r>
        <w:rPr>
          <w:lang w:val="en-US" w:eastAsia="pl-PL"/>
        </w:rPr>
        <w:t>table for each compound included in the analysis, which contains the dose range applied, mean and standard deviations of absorbance values for every triplicate</w:t>
      </w:r>
      <w:r w:rsidR="00370843">
        <w:rPr>
          <w:lang w:val="en-US" w:eastAsia="pl-PL"/>
        </w:rPr>
        <w:t>,</w:t>
      </w:r>
      <w:r>
        <w:rPr>
          <w:lang w:val="en-US" w:eastAsia="pl-PL"/>
        </w:rPr>
        <w:t xml:space="preserve"> and </w:t>
      </w:r>
      <w:r w:rsidR="00370843">
        <w:rPr>
          <w:lang w:val="en-US" w:eastAsia="pl-PL"/>
        </w:rPr>
        <w:t xml:space="preserve">the </w:t>
      </w:r>
      <w:r>
        <w:rPr>
          <w:lang w:val="en-US" w:eastAsia="pl-PL"/>
        </w:rPr>
        <w:t xml:space="preserve">calculated respective percentages of inhibition of cell population </w:t>
      </w:r>
      <w:r w:rsidRPr="008A2E76">
        <w:rPr>
          <w:rFonts w:cs="Times New Roman"/>
          <w:lang w:val="en-US" w:eastAsia="pl-PL"/>
        </w:rPr>
        <w:t xml:space="preserve">using the formula (1). The calculated </w:t>
      </w:r>
      <w:r w:rsidR="008A2E76" w:rsidRPr="008A2E76">
        <w:rPr>
          <w:rFonts w:cs="Times New Roman"/>
          <w:lang w:val="en-US"/>
        </w:rPr>
        <w:t>IC</w:t>
      </w:r>
      <w:r w:rsidR="008A2E76" w:rsidRPr="008A2E76">
        <w:rPr>
          <w:rFonts w:cs="Times New Roman"/>
          <w:vertAlign w:val="subscript"/>
          <w:lang w:val="en-US"/>
        </w:rPr>
        <w:t>50</w:t>
      </w:r>
      <w:r w:rsidR="008A2E76" w:rsidRPr="008A2E76">
        <w:rPr>
          <w:rFonts w:cs="Times New Roman"/>
          <w:lang w:val="en-US"/>
        </w:rPr>
        <w:t xml:space="preserve"> values (if applicable), their types (absolute or relative), 95% confidence intervals, goodness of fit values (linear and nonlinear regression),</w:t>
      </w:r>
      <w:r w:rsidRPr="008A2E76">
        <w:rPr>
          <w:rFonts w:cs="Times New Roman"/>
          <w:lang w:val="en-US" w:eastAsia="pl-PL"/>
        </w:rPr>
        <w:t xml:space="preserve"> and the method of estimation are shown below. Triplicates for which percentages of inhibition of the cell population</w:t>
      </w:r>
      <w:r>
        <w:rPr>
          <w:lang w:val="en-US" w:eastAsia="pl-PL"/>
        </w:rPr>
        <w:t xml:space="preserve"> were calculated to be 0 or 100% are highlighted in red (</w:t>
      </w:r>
      <w:r>
        <w:rPr>
          <w:b/>
          <w:bCs/>
          <w:lang w:val="en-US" w:eastAsia="pl-PL"/>
        </w:rPr>
        <w:t>Figure 7</w:t>
      </w:r>
      <w:r>
        <w:rPr>
          <w:lang w:val="en-US" w:eastAsia="pl-PL"/>
        </w:rPr>
        <w:t xml:space="preserve">).  </w:t>
      </w:r>
    </w:p>
    <w:p w:rsidR="008B643A" w:rsidRDefault="008B643A">
      <w:pPr>
        <w:pStyle w:val="Standard"/>
        <w:jc w:val="both"/>
        <w:rPr>
          <w:lang w:val="en-US" w:eastAsia="pl-PL"/>
        </w:rPr>
      </w:pPr>
    </w:p>
    <w:p w:rsidR="008B643A" w:rsidRDefault="00843872">
      <w:pPr>
        <w:pStyle w:val="Standard"/>
        <w:rPr>
          <w:color w:val="0000FF"/>
          <w:lang w:val="en-US" w:eastAsia="pl-PL"/>
        </w:rPr>
      </w:pPr>
      <w:r>
        <w:rPr>
          <w:noProof/>
          <w:color w:val="0000FF"/>
          <w:lang w:val="ru-RU" w:eastAsia="ru-RU"/>
        </w:rPr>
        <w:drawing>
          <wp:inline distT="0" distB="0" distL="0" distR="0">
            <wp:extent cx="6116600" cy="3855600"/>
            <wp:effectExtent l="19050" t="0" r="0" b="0"/>
            <wp:docPr id="8" name="Рисунок 7" descr="Figure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7.png"/>
                    <pic:cNvPicPr/>
                  </pic:nvPicPr>
                  <pic:blipFill>
                    <a:blip r:embed="rId19" cstate="print"/>
                    <a:stretch>
                      <a:fillRect/>
                    </a:stretch>
                  </pic:blipFill>
                  <pic:spPr>
                    <a:xfrm>
                      <a:off x="0" y="0"/>
                      <a:ext cx="6116600" cy="3855600"/>
                    </a:xfrm>
                    <a:prstGeom prst="rect">
                      <a:avLst/>
                    </a:prstGeom>
                  </pic:spPr>
                </pic:pic>
              </a:graphicData>
            </a:graphic>
          </wp:inline>
        </w:drawing>
      </w:r>
    </w:p>
    <w:p w:rsidR="00BA0688" w:rsidRDefault="00BA0688">
      <w:pPr>
        <w:pStyle w:val="Standard"/>
        <w:rPr>
          <w:b/>
          <w:bCs/>
          <w:i/>
          <w:iCs/>
          <w:sz w:val="22"/>
          <w:szCs w:val="22"/>
          <w:lang w:val="en-US" w:eastAsia="pl-PL"/>
        </w:rPr>
      </w:pPr>
    </w:p>
    <w:p w:rsidR="008B643A" w:rsidRPr="0091352F" w:rsidRDefault="00204C39" w:rsidP="0091352F">
      <w:pPr>
        <w:pStyle w:val="Standard"/>
        <w:jc w:val="both"/>
        <w:rPr>
          <w:rFonts w:cs="Times New Roman"/>
          <w:i/>
          <w:iCs/>
          <w:sz w:val="22"/>
          <w:szCs w:val="22"/>
          <w:lang w:val="en-US" w:eastAsia="pl-PL"/>
        </w:rPr>
      </w:pPr>
      <w:r w:rsidRPr="0091352F">
        <w:rPr>
          <w:rFonts w:cs="Times New Roman"/>
          <w:b/>
          <w:bCs/>
          <w:i/>
          <w:iCs/>
          <w:sz w:val="22"/>
          <w:szCs w:val="22"/>
          <w:lang w:val="en-US" w:eastAsia="pl-PL"/>
        </w:rPr>
        <w:t>Figure 7</w:t>
      </w:r>
      <w:r w:rsidRPr="0091352F">
        <w:rPr>
          <w:rFonts w:cs="Times New Roman"/>
          <w:i/>
          <w:iCs/>
          <w:sz w:val="22"/>
          <w:szCs w:val="22"/>
          <w:lang w:val="en-US" w:eastAsia="pl-PL"/>
        </w:rPr>
        <w:t xml:space="preserve">. </w:t>
      </w:r>
      <w:r w:rsidR="0091352F" w:rsidRPr="0091352F">
        <w:rPr>
          <w:rFonts w:cs="Times New Roman"/>
          <w:i/>
          <w:sz w:val="22"/>
          <w:szCs w:val="22"/>
          <w:lang w:val="en-US"/>
        </w:rPr>
        <w:t xml:space="preserve">The </w:t>
      </w:r>
      <w:r w:rsidR="0091352F" w:rsidRPr="0091352F">
        <w:rPr>
          <w:rFonts w:cs="Times New Roman"/>
          <w:i/>
          <w:sz w:val="22"/>
          <w:szCs w:val="22"/>
          <w:lang w:val="en-US" w:eastAsia="pl-PL"/>
        </w:rPr>
        <w:t>Results tab after the analysis. It is showing the dose range applied, mean and standard deviations of absorbance values for every triplicate, calculated respective percentages of inhibition of cell proliferation, estimated IC</w:t>
      </w:r>
      <w:r w:rsidR="0091352F" w:rsidRPr="0091352F">
        <w:rPr>
          <w:rFonts w:cs="Times New Roman"/>
          <w:i/>
          <w:sz w:val="22"/>
          <w:szCs w:val="22"/>
          <w:vertAlign w:val="subscript"/>
          <w:lang w:val="en-US" w:eastAsia="pl-PL"/>
        </w:rPr>
        <w:t>50</w:t>
      </w:r>
      <w:r w:rsidR="0091352F" w:rsidRPr="0091352F">
        <w:rPr>
          <w:rFonts w:cs="Times New Roman"/>
          <w:i/>
          <w:sz w:val="22"/>
          <w:szCs w:val="22"/>
          <w:lang w:val="en-US" w:eastAsia="pl-PL"/>
        </w:rPr>
        <w:t xml:space="preserve"> values, its type, method of calculation, and 95% confidence intervals (for regression analysis)</w:t>
      </w:r>
      <w:r w:rsidR="0091352F" w:rsidRPr="0091352F">
        <w:rPr>
          <w:rFonts w:cs="Times New Roman"/>
          <w:i/>
          <w:sz w:val="22"/>
          <w:szCs w:val="22"/>
          <w:lang w:val="en-US"/>
        </w:rPr>
        <w:t>.</w:t>
      </w:r>
    </w:p>
    <w:p w:rsidR="008B643A" w:rsidRDefault="008B643A">
      <w:pPr>
        <w:pStyle w:val="Standard"/>
        <w:rPr>
          <w:lang w:val="en-US" w:eastAsia="pl-PL"/>
        </w:rPr>
      </w:pPr>
    </w:p>
    <w:p w:rsidR="0091352F" w:rsidRPr="0091352F" w:rsidRDefault="0091352F" w:rsidP="0091352F">
      <w:pPr>
        <w:pStyle w:val="Tekstpodstawowy31"/>
        <w:autoSpaceDE/>
        <w:ind w:firstLine="720"/>
        <w:contextualSpacing/>
        <w:rPr>
          <w:color w:val="auto"/>
        </w:rPr>
      </w:pPr>
      <w:r w:rsidRPr="0091352F">
        <w:rPr>
          <w:color w:val="auto"/>
        </w:rPr>
        <w:t xml:space="preserve">It is also possible to examine the dose-response curves for each compound analyzed on the </w:t>
      </w:r>
      <w:r w:rsidRPr="0091352F">
        <w:rPr>
          <w:i/>
          <w:color w:val="auto"/>
        </w:rPr>
        <w:t>Graphs</w:t>
      </w:r>
      <w:r w:rsidRPr="0091352F">
        <w:rPr>
          <w:color w:val="auto"/>
        </w:rPr>
        <w:t xml:space="preserve"> tab </w:t>
      </w:r>
      <w:r w:rsidRPr="0091352F">
        <w:rPr>
          <w:lang w:eastAsia="pl-PL"/>
        </w:rPr>
        <w:t>(</w:t>
      </w:r>
      <w:r w:rsidRPr="0091352F">
        <w:rPr>
          <w:b/>
          <w:bCs/>
          <w:lang w:eastAsia="pl-PL"/>
        </w:rPr>
        <w:t>Figure 8</w:t>
      </w:r>
      <w:r w:rsidRPr="0091352F">
        <w:rPr>
          <w:lang w:eastAsia="pl-PL"/>
        </w:rPr>
        <w:t>)</w:t>
      </w:r>
      <w:r w:rsidRPr="0091352F">
        <w:rPr>
          <w:color w:val="auto"/>
        </w:rPr>
        <w:t>. This option is useful for visually assessing the validity of curves and the method for estimating IC</w:t>
      </w:r>
      <w:r w:rsidRPr="0091352F">
        <w:rPr>
          <w:color w:val="auto"/>
          <w:vertAlign w:val="subscript"/>
        </w:rPr>
        <w:t>50</w:t>
      </w:r>
      <w:r w:rsidRPr="0091352F">
        <w:rPr>
          <w:color w:val="auto"/>
        </w:rPr>
        <w:t xml:space="preserve"> values. Here, individual data points are plotted in black, which helps to see the experimental variability between absorbance values from different wells. In cases when either the linear or nonlinear regression method is used for estimation, the regression line is also shown in the respective graph. Calculated IC</w:t>
      </w:r>
      <w:r w:rsidRPr="0091352F">
        <w:rPr>
          <w:color w:val="auto"/>
          <w:vertAlign w:val="subscript"/>
        </w:rPr>
        <w:t>50</w:t>
      </w:r>
      <w:r w:rsidRPr="0091352F">
        <w:rPr>
          <w:color w:val="auto"/>
        </w:rPr>
        <w:t xml:space="preserve"> values (if reached) are shown as green points on the graphs, together with a fuchsia line marking respective percent of inhibition for either absolute or relative IC</w:t>
      </w:r>
      <w:r w:rsidRPr="0091352F">
        <w:rPr>
          <w:color w:val="auto"/>
          <w:vertAlign w:val="subscript"/>
        </w:rPr>
        <w:t>50</w:t>
      </w:r>
      <w:r w:rsidRPr="0091352F">
        <w:rPr>
          <w:color w:val="auto"/>
        </w:rPr>
        <w:t>.</w:t>
      </w:r>
    </w:p>
    <w:p w:rsidR="008B643A" w:rsidRPr="000A4C03" w:rsidRDefault="008B643A">
      <w:pPr>
        <w:pStyle w:val="Standard"/>
        <w:jc w:val="both"/>
        <w:rPr>
          <w:lang w:val="en-US"/>
        </w:rPr>
      </w:pPr>
    </w:p>
    <w:p w:rsidR="008B643A" w:rsidRDefault="00843872">
      <w:pPr>
        <w:pStyle w:val="Tekstpodstawowy3"/>
        <w:autoSpaceDE/>
        <w:rPr>
          <w:color w:val="0000FF"/>
          <w:lang w:eastAsia="pl-PL"/>
        </w:rPr>
      </w:pPr>
      <w:r>
        <w:rPr>
          <w:noProof/>
          <w:color w:val="0000FF"/>
          <w:lang w:val="ru-RU" w:eastAsia="ru-RU"/>
        </w:rPr>
        <w:lastRenderedPageBreak/>
        <w:drawing>
          <wp:inline distT="0" distB="0" distL="0" distR="0">
            <wp:extent cx="6116600" cy="3855600"/>
            <wp:effectExtent l="19050" t="0" r="0" b="0"/>
            <wp:docPr id="9" name="Рисунок 8" descr="Figure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8.png"/>
                    <pic:cNvPicPr/>
                  </pic:nvPicPr>
                  <pic:blipFill>
                    <a:blip r:embed="rId20" cstate="print"/>
                    <a:stretch>
                      <a:fillRect/>
                    </a:stretch>
                  </pic:blipFill>
                  <pic:spPr>
                    <a:xfrm>
                      <a:off x="0" y="0"/>
                      <a:ext cx="6116600" cy="3855600"/>
                    </a:xfrm>
                    <a:prstGeom prst="rect">
                      <a:avLst/>
                    </a:prstGeom>
                  </pic:spPr>
                </pic:pic>
              </a:graphicData>
            </a:graphic>
          </wp:inline>
        </w:drawing>
      </w:r>
    </w:p>
    <w:p w:rsidR="00BA0688" w:rsidRDefault="00BA0688">
      <w:pPr>
        <w:pStyle w:val="Tekstpodstawowy3"/>
        <w:autoSpaceDE/>
        <w:rPr>
          <w:b/>
          <w:bCs/>
          <w:i/>
          <w:iCs/>
          <w:sz w:val="22"/>
          <w:szCs w:val="22"/>
          <w:lang w:eastAsia="pl-PL"/>
        </w:rPr>
      </w:pPr>
    </w:p>
    <w:p w:rsidR="008B643A" w:rsidRPr="0091352F" w:rsidRDefault="00204C39" w:rsidP="0091352F">
      <w:pPr>
        <w:pStyle w:val="Tekstpodstawowy3"/>
        <w:autoSpaceDE/>
        <w:rPr>
          <w:rFonts w:cs="Times New Roman"/>
          <w:i/>
          <w:iCs/>
          <w:sz w:val="22"/>
          <w:szCs w:val="22"/>
          <w:lang w:eastAsia="pl-PL"/>
        </w:rPr>
      </w:pPr>
      <w:r w:rsidRPr="0091352F">
        <w:rPr>
          <w:rFonts w:cs="Times New Roman"/>
          <w:b/>
          <w:bCs/>
          <w:i/>
          <w:iCs/>
          <w:sz w:val="22"/>
          <w:szCs w:val="22"/>
          <w:lang w:eastAsia="pl-PL"/>
        </w:rPr>
        <w:t>Figure 8</w:t>
      </w:r>
      <w:r w:rsidRPr="0091352F">
        <w:rPr>
          <w:rFonts w:cs="Times New Roman"/>
          <w:i/>
          <w:iCs/>
          <w:sz w:val="22"/>
          <w:szCs w:val="22"/>
          <w:lang w:eastAsia="pl-PL"/>
        </w:rPr>
        <w:t xml:space="preserve">. </w:t>
      </w:r>
      <w:r w:rsidR="0091352F" w:rsidRPr="0091352F">
        <w:rPr>
          <w:rFonts w:cs="Times New Roman"/>
          <w:i/>
          <w:sz w:val="22"/>
          <w:szCs w:val="22"/>
        </w:rPr>
        <w:t xml:space="preserve">The </w:t>
      </w:r>
      <w:r w:rsidR="0091352F" w:rsidRPr="0091352F">
        <w:rPr>
          <w:rFonts w:cs="Times New Roman"/>
          <w:i/>
          <w:sz w:val="22"/>
          <w:szCs w:val="22"/>
          <w:lang w:eastAsia="pl-PL"/>
        </w:rPr>
        <w:t>Graphs tab after the analysis. It is showing the dose-response curves, individual values of percentages of inhibition for each data point, method of calculation used, IC</w:t>
      </w:r>
      <w:r w:rsidR="0091352F" w:rsidRPr="0091352F">
        <w:rPr>
          <w:rFonts w:cs="Times New Roman"/>
          <w:i/>
          <w:sz w:val="22"/>
          <w:szCs w:val="22"/>
          <w:vertAlign w:val="subscript"/>
          <w:lang w:eastAsia="pl-PL"/>
        </w:rPr>
        <w:t>50</w:t>
      </w:r>
      <w:r w:rsidR="0091352F" w:rsidRPr="0091352F">
        <w:rPr>
          <w:rFonts w:cs="Times New Roman"/>
          <w:i/>
          <w:sz w:val="22"/>
          <w:szCs w:val="22"/>
          <w:lang w:eastAsia="pl-PL"/>
        </w:rPr>
        <w:t xml:space="preserve"> values, its type, 95% confidence intervals, and goodness of fit (for regression analysis)</w:t>
      </w:r>
      <w:r w:rsidR="0091352F" w:rsidRPr="0091352F">
        <w:rPr>
          <w:rFonts w:cs="Times New Roman"/>
          <w:i/>
          <w:sz w:val="22"/>
          <w:szCs w:val="22"/>
        </w:rPr>
        <w:t>.</w:t>
      </w:r>
    </w:p>
    <w:p w:rsidR="008B643A" w:rsidRPr="0091352F" w:rsidRDefault="008B643A">
      <w:pPr>
        <w:pStyle w:val="Standard"/>
        <w:rPr>
          <w:rFonts w:cs="Times New Roman"/>
          <w:sz w:val="22"/>
          <w:szCs w:val="22"/>
          <w:lang w:val="en-US"/>
        </w:rPr>
      </w:pPr>
    </w:p>
    <w:p w:rsidR="008B643A" w:rsidRDefault="003F4719">
      <w:pPr>
        <w:pStyle w:val="Textbody"/>
        <w:spacing w:after="0"/>
        <w:rPr>
          <w:color w:val="0000FF"/>
          <w:lang w:val="en-US"/>
        </w:rPr>
      </w:pPr>
      <w:r>
        <w:rPr>
          <w:noProof/>
          <w:color w:val="0000FF"/>
          <w:lang w:val="ru-RU" w:eastAsia="ru-RU"/>
        </w:rPr>
        <w:drawing>
          <wp:inline distT="0" distB="0" distL="0" distR="0">
            <wp:extent cx="6117336" cy="3856064"/>
            <wp:effectExtent l="19050" t="0" r="0" b="0"/>
            <wp:docPr id="5" name="Рисунок 4" descr="Figure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10.png"/>
                    <pic:cNvPicPr/>
                  </pic:nvPicPr>
                  <pic:blipFill>
                    <a:blip r:embed="rId21" cstate="print"/>
                    <a:stretch>
                      <a:fillRect/>
                    </a:stretch>
                  </pic:blipFill>
                  <pic:spPr>
                    <a:xfrm>
                      <a:off x="0" y="0"/>
                      <a:ext cx="6117336" cy="3856064"/>
                    </a:xfrm>
                    <a:prstGeom prst="rect">
                      <a:avLst/>
                    </a:prstGeom>
                  </pic:spPr>
                </pic:pic>
              </a:graphicData>
            </a:graphic>
          </wp:inline>
        </w:drawing>
      </w:r>
    </w:p>
    <w:p w:rsidR="00BA0688" w:rsidRDefault="00BA0688">
      <w:pPr>
        <w:pStyle w:val="Textbody"/>
        <w:spacing w:after="0"/>
        <w:rPr>
          <w:b/>
          <w:bCs/>
          <w:i/>
          <w:iCs/>
          <w:sz w:val="22"/>
          <w:szCs w:val="22"/>
          <w:lang w:val="en-US"/>
        </w:rPr>
      </w:pPr>
    </w:p>
    <w:p w:rsidR="008B643A" w:rsidRPr="000A4C03" w:rsidRDefault="00204C39">
      <w:pPr>
        <w:pStyle w:val="Textbody"/>
        <w:spacing w:after="0"/>
        <w:rPr>
          <w:lang w:val="en-US"/>
        </w:rPr>
      </w:pPr>
      <w:r>
        <w:rPr>
          <w:b/>
          <w:bCs/>
          <w:i/>
          <w:iCs/>
          <w:sz w:val="22"/>
          <w:szCs w:val="22"/>
          <w:lang w:val="en-US"/>
        </w:rPr>
        <w:t>Figure 9</w:t>
      </w:r>
      <w:r>
        <w:rPr>
          <w:i/>
          <w:iCs/>
          <w:sz w:val="22"/>
          <w:szCs w:val="22"/>
          <w:lang w:val="en-US"/>
        </w:rPr>
        <w:t xml:space="preserve">. Options page for </w:t>
      </w:r>
      <w:proofErr w:type="spellStart"/>
      <w:r>
        <w:rPr>
          <w:i/>
          <w:iCs/>
          <w:sz w:val="22"/>
          <w:szCs w:val="22"/>
          <w:lang w:val="en-US"/>
        </w:rPr>
        <w:t>Cheburator</w:t>
      </w:r>
      <w:proofErr w:type="spellEnd"/>
      <w:r>
        <w:rPr>
          <w:i/>
          <w:iCs/>
          <w:sz w:val="22"/>
          <w:szCs w:val="22"/>
          <w:lang w:val="en-US"/>
        </w:rPr>
        <w:t xml:space="preserve"> customization.</w:t>
      </w:r>
    </w:p>
    <w:p w:rsidR="008B643A" w:rsidRPr="000A4C03" w:rsidRDefault="00204C39">
      <w:pPr>
        <w:pStyle w:val="Heading21"/>
        <w:pageBreakBefore/>
        <w:rPr>
          <w:rFonts w:ascii="Times New Roman" w:hAnsi="Times New Roman"/>
          <w:color w:val="000080"/>
          <w:sz w:val="24"/>
          <w:szCs w:val="24"/>
          <w:lang w:val="en-US"/>
        </w:rPr>
      </w:pPr>
      <w:bookmarkStart w:id="22" w:name="_Toc388197853"/>
      <w:r w:rsidRPr="000A4C03">
        <w:rPr>
          <w:rFonts w:ascii="Times New Roman" w:hAnsi="Times New Roman"/>
          <w:color w:val="000080"/>
          <w:sz w:val="24"/>
          <w:szCs w:val="24"/>
          <w:lang w:val="en-US"/>
        </w:rPr>
        <w:lastRenderedPageBreak/>
        <w:t>3.</w:t>
      </w:r>
      <w:r w:rsidR="00710736">
        <w:rPr>
          <w:rFonts w:ascii="Times New Roman" w:hAnsi="Times New Roman"/>
          <w:color w:val="000080"/>
          <w:sz w:val="24"/>
          <w:szCs w:val="24"/>
          <w:lang w:val="en-US"/>
        </w:rPr>
        <w:t>7</w:t>
      </w:r>
      <w:r w:rsidRPr="000A4C03">
        <w:rPr>
          <w:rFonts w:ascii="Times New Roman" w:hAnsi="Times New Roman"/>
          <w:color w:val="000080"/>
          <w:sz w:val="24"/>
          <w:szCs w:val="24"/>
          <w:lang w:val="en-US"/>
        </w:rPr>
        <w:t>. Options page</w:t>
      </w:r>
      <w:bookmarkEnd w:id="22"/>
    </w:p>
    <w:p w:rsidR="008B643A" w:rsidRDefault="008B643A">
      <w:pPr>
        <w:pStyle w:val="Textbody"/>
        <w:spacing w:after="0"/>
        <w:rPr>
          <w:lang w:val="en-US"/>
        </w:rPr>
      </w:pPr>
    </w:p>
    <w:p w:rsidR="008B643A" w:rsidRPr="0091352F" w:rsidRDefault="00204C39">
      <w:pPr>
        <w:pStyle w:val="Standard"/>
        <w:jc w:val="both"/>
        <w:rPr>
          <w:rFonts w:cs="Times New Roman"/>
          <w:lang w:val="en-US" w:eastAsia="pl-PL"/>
        </w:rPr>
      </w:pPr>
      <w:r>
        <w:rPr>
          <w:lang w:val="en-US" w:eastAsia="pl-PL"/>
        </w:rPr>
        <w:tab/>
        <w:t xml:space="preserve">On the </w:t>
      </w:r>
      <w:r>
        <w:rPr>
          <w:b/>
          <w:bCs/>
          <w:lang w:val="en-US" w:eastAsia="pl-PL"/>
        </w:rPr>
        <w:t>Options</w:t>
      </w:r>
      <w:r>
        <w:rPr>
          <w:lang w:val="en-US" w:eastAsia="pl-PL"/>
        </w:rPr>
        <w:t xml:space="preserve"> page</w:t>
      </w:r>
      <w:r w:rsidR="00370843">
        <w:rPr>
          <w:lang w:val="en-US" w:eastAsia="pl-PL"/>
        </w:rPr>
        <w:t>,</w:t>
      </w:r>
      <w:r>
        <w:rPr>
          <w:lang w:val="en-US" w:eastAsia="pl-PL"/>
        </w:rPr>
        <w:t xml:space="preserve"> users can specify the units of measurement used in the test (</w:t>
      </w:r>
      <w:r>
        <w:rPr>
          <w:b/>
          <w:bCs/>
          <w:lang w:val="en-US" w:eastAsia="pl-PL"/>
        </w:rPr>
        <w:t>Figure 9</w:t>
      </w:r>
      <w:r>
        <w:rPr>
          <w:lang w:val="en-US" w:eastAsia="pl-PL"/>
        </w:rPr>
        <w:t xml:space="preserve">). Turning on the </w:t>
      </w:r>
      <w:r>
        <w:rPr>
          <w:b/>
          <w:bCs/>
          <w:lang w:val="en-US" w:eastAsia="pl-PL"/>
        </w:rPr>
        <w:t>Discard outliers</w:t>
      </w:r>
      <w:r>
        <w:rPr>
          <w:lang w:val="en-US" w:eastAsia="pl-PL"/>
        </w:rPr>
        <w:t xml:space="preserve"> checkbox will result in removing the outliers from the analysis (this option is not recommended</w:t>
      </w:r>
      <w:r w:rsidR="00370843">
        <w:rPr>
          <w:lang w:val="en-US" w:eastAsia="pl-PL"/>
        </w:rPr>
        <w:t xml:space="preserve"> and </w:t>
      </w:r>
      <w:r>
        <w:rPr>
          <w:lang w:val="en-US" w:eastAsia="pl-PL"/>
        </w:rPr>
        <w:t xml:space="preserve">is off by default). Outliers are defined as the values which are outside the mean ± SD for the current triplicate. SD limits </w:t>
      </w:r>
      <w:r w:rsidR="00370843">
        <w:rPr>
          <w:lang w:val="en-US" w:eastAsia="pl-PL"/>
        </w:rPr>
        <w:t xml:space="preserve">can </w:t>
      </w:r>
      <w:r>
        <w:rPr>
          <w:lang w:val="en-US" w:eastAsia="pl-PL"/>
        </w:rPr>
        <w:t xml:space="preserve">be specified in the </w:t>
      </w:r>
      <w:r>
        <w:rPr>
          <w:b/>
          <w:bCs/>
          <w:lang w:val="en-US" w:eastAsia="pl-PL"/>
        </w:rPr>
        <w:t>Threshold for outliers</w:t>
      </w:r>
      <w:r>
        <w:rPr>
          <w:lang w:val="en-US" w:eastAsia="pl-PL"/>
        </w:rPr>
        <w:t xml:space="preserve"> combo box. Below are the edit boxes in which the upper and lower threshold percentage of inhibition values for simple method of IC</w:t>
      </w:r>
      <w:r>
        <w:rPr>
          <w:vertAlign w:val="subscript"/>
          <w:lang w:val="en-US" w:eastAsia="pl-PL"/>
        </w:rPr>
        <w:t>50</w:t>
      </w:r>
      <w:r>
        <w:rPr>
          <w:lang w:val="en-US" w:eastAsia="pl-PL"/>
        </w:rPr>
        <w:t xml:space="preserve"> calculation </w:t>
      </w:r>
      <w:r w:rsidR="00370843">
        <w:rPr>
          <w:lang w:val="en-US" w:eastAsia="pl-PL"/>
        </w:rPr>
        <w:t xml:space="preserve">can </w:t>
      </w:r>
      <w:r>
        <w:rPr>
          <w:lang w:val="en-US" w:eastAsia="pl-PL"/>
        </w:rPr>
        <w:t xml:space="preserve">be specified (See </w:t>
      </w:r>
      <w:r>
        <w:rPr>
          <w:b/>
          <w:bCs/>
          <w:i/>
          <w:iCs/>
          <w:lang w:val="en-US" w:eastAsia="pl-PL"/>
        </w:rPr>
        <w:t>3.</w:t>
      </w:r>
      <w:r w:rsidR="0091352F">
        <w:rPr>
          <w:b/>
          <w:bCs/>
          <w:i/>
          <w:iCs/>
          <w:lang w:val="en-US" w:eastAsia="pl-PL"/>
        </w:rPr>
        <w:t>5</w:t>
      </w:r>
      <w:r>
        <w:rPr>
          <w:b/>
          <w:bCs/>
          <w:i/>
          <w:iCs/>
          <w:lang w:val="en-US" w:eastAsia="pl-PL"/>
        </w:rPr>
        <w:t xml:space="preserve">. Data analysis and </w:t>
      </w:r>
      <w:r w:rsidRPr="0091352F">
        <w:rPr>
          <w:rFonts w:cs="Times New Roman"/>
          <w:b/>
          <w:bCs/>
          <w:i/>
          <w:iCs/>
          <w:lang w:val="en-US" w:eastAsia="pl-PL"/>
        </w:rPr>
        <w:t xml:space="preserve">the selection of the method </w:t>
      </w:r>
      <w:r w:rsidRPr="0091352F">
        <w:rPr>
          <w:rFonts w:cs="Times New Roman"/>
          <w:lang w:val="en-US" w:eastAsia="pl-PL"/>
        </w:rPr>
        <w:t>section for details).</w:t>
      </w:r>
      <w:r w:rsidR="0091352F" w:rsidRPr="0091352F">
        <w:rPr>
          <w:rFonts w:cs="Times New Roman"/>
          <w:lang w:val="en-US" w:eastAsia="pl-PL"/>
        </w:rPr>
        <w:t xml:space="preserve"> </w:t>
      </w:r>
      <w:r w:rsidR="0091352F" w:rsidRPr="0091352F">
        <w:rPr>
          <w:rFonts w:cs="Times New Roman"/>
          <w:b/>
          <w:lang w:val="en-US" w:eastAsia="pl-PL"/>
        </w:rPr>
        <w:t>IC</w:t>
      </w:r>
      <w:r w:rsidR="0091352F" w:rsidRPr="0091352F">
        <w:rPr>
          <w:rFonts w:cs="Times New Roman"/>
          <w:b/>
          <w:vertAlign w:val="subscript"/>
          <w:lang w:val="en-US" w:eastAsia="pl-PL"/>
        </w:rPr>
        <w:t>50</w:t>
      </w:r>
      <w:r w:rsidR="0091352F" w:rsidRPr="0091352F">
        <w:rPr>
          <w:rFonts w:cs="Times New Roman"/>
          <w:b/>
          <w:lang w:val="en-US" w:eastAsia="pl-PL"/>
        </w:rPr>
        <w:t xml:space="preserve"> type in regression analysis</w:t>
      </w:r>
      <w:r w:rsidR="0091352F" w:rsidRPr="0091352F">
        <w:rPr>
          <w:rFonts w:cs="Times New Roman"/>
          <w:lang w:val="en-US" w:eastAsia="pl-PL"/>
        </w:rPr>
        <w:t xml:space="preserve"> selection panel allows user to choose whether absolute or relative IC</w:t>
      </w:r>
      <w:r w:rsidR="0091352F" w:rsidRPr="0091352F">
        <w:rPr>
          <w:rFonts w:cs="Times New Roman"/>
          <w:vertAlign w:val="subscript"/>
          <w:lang w:val="en-US" w:eastAsia="pl-PL"/>
        </w:rPr>
        <w:t>50</w:t>
      </w:r>
      <w:r w:rsidR="0091352F" w:rsidRPr="0091352F">
        <w:rPr>
          <w:rFonts w:cs="Times New Roman"/>
          <w:lang w:val="en-US" w:eastAsia="pl-PL"/>
        </w:rPr>
        <w:t xml:space="preserve"> is calculated during the linear or nonlinear regression analysis.</w:t>
      </w:r>
    </w:p>
    <w:p w:rsidR="008B643A" w:rsidRDefault="00204C39">
      <w:pPr>
        <w:pStyle w:val="Standard"/>
        <w:jc w:val="both"/>
        <w:rPr>
          <w:lang w:val="en-US" w:eastAsia="pl-PL"/>
        </w:rPr>
      </w:pPr>
      <w:r w:rsidRPr="0091352F">
        <w:rPr>
          <w:rFonts w:cs="Times New Roman"/>
          <w:lang w:val="en-US" w:eastAsia="pl-PL"/>
        </w:rPr>
        <w:tab/>
        <w:t>On this page</w:t>
      </w:r>
      <w:r w:rsidR="00370843" w:rsidRPr="0091352F">
        <w:rPr>
          <w:rFonts w:cs="Times New Roman"/>
          <w:lang w:val="en-US" w:eastAsia="pl-PL"/>
        </w:rPr>
        <w:t>,</w:t>
      </w:r>
      <w:r w:rsidRPr="0091352F">
        <w:rPr>
          <w:rFonts w:cs="Times New Roman"/>
          <w:lang w:val="en-US" w:eastAsia="pl-PL"/>
        </w:rPr>
        <w:t xml:space="preserve"> users can also change the number of digits displayed after the decimal</w:t>
      </w:r>
      <w:r>
        <w:rPr>
          <w:lang w:val="en-US" w:eastAsia="pl-PL"/>
        </w:rPr>
        <w:t xml:space="preserve"> separator in the counted IC</w:t>
      </w:r>
      <w:r>
        <w:rPr>
          <w:vertAlign w:val="subscript"/>
          <w:lang w:val="en-US" w:eastAsia="pl-PL"/>
        </w:rPr>
        <w:t>50</w:t>
      </w:r>
      <w:r>
        <w:rPr>
          <w:lang w:val="en-US" w:eastAsia="pl-PL"/>
        </w:rPr>
        <w:t xml:space="preserve"> values. In addition, color highlighting of absorbance values can also </w:t>
      </w:r>
      <w:r w:rsidR="00370843">
        <w:rPr>
          <w:lang w:val="en-US" w:eastAsia="pl-PL"/>
        </w:rPr>
        <w:t xml:space="preserve">be </w:t>
      </w:r>
      <w:r>
        <w:rPr>
          <w:lang w:val="en-US" w:eastAsia="pl-PL"/>
        </w:rPr>
        <w:t xml:space="preserve">printed in the final hard-copy report if </w:t>
      </w:r>
      <w:r w:rsidR="002F5A83" w:rsidRPr="002F5A83">
        <w:rPr>
          <w:b/>
          <w:bCs/>
          <w:lang w:val="en-US" w:eastAsia="pl-PL"/>
        </w:rPr>
        <w:t>Print approximate color for absorbance values in report</w:t>
      </w:r>
      <w:r>
        <w:rPr>
          <w:lang w:val="en-US" w:eastAsia="pl-PL"/>
        </w:rPr>
        <w:t xml:space="preserve"> checkbox was </w:t>
      </w:r>
      <w:r w:rsidR="00370843">
        <w:rPr>
          <w:lang w:val="en-US" w:eastAsia="pl-PL"/>
        </w:rPr>
        <w:t xml:space="preserve">turned </w:t>
      </w:r>
      <w:r>
        <w:rPr>
          <w:lang w:val="en-US" w:eastAsia="pl-PL"/>
        </w:rPr>
        <w:t>on. The default color for this highlighting can be selected in the combo box above.</w:t>
      </w:r>
    </w:p>
    <w:p w:rsidR="008B643A" w:rsidRPr="000A4C03" w:rsidRDefault="00204C39">
      <w:pPr>
        <w:pStyle w:val="Heading21"/>
        <w:rPr>
          <w:rFonts w:ascii="Times New Roman" w:hAnsi="Times New Roman"/>
          <w:color w:val="000080"/>
          <w:sz w:val="24"/>
          <w:szCs w:val="24"/>
          <w:lang w:val="en-US"/>
        </w:rPr>
      </w:pPr>
      <w:bookmarkStart w:id="23" w:name="_Toc388197854"/>
      <w:r w:rsidRPr="000A4C03">
        <w:rPr>
          <w:rFonts w:ascii="Times New Roman" w:hAnsi="Times New Roman"/>
          <w:color w:val="000080"/>
          <w:sz w:val="24"/>
          <w:szCs w:val="24"/>
          <w:lang w:val="en-US"/>
        </w:rPr>
        <w:t>3.</w:t>
      </w:r>
      <w:r w:rsidR="00710736">
        <w:rPr>
          <w:rFonts w:ascii="Times New Roman" w:hAnsi="Times New Roman"/>
          <w:color w:val="000080"/>
          <w:sz w:val="24"/>
          <w:szCs w:val="24"/>
          <w:lang w:val="en-US"/>
        </w:rPr>
        <w:t>8</w:t>
      </w:r>
      <w:r w:rsidRPr="000A4C03">
        <w:rPr>
          <w:rFonts w:ascii="Times New Roman" w:hAnsi="Times New Roman"/>
          <w:color w:val="000080"/>
          <w:sz w:val="24"/>
          <w:szCs w:val="24"/>
          <w:lang w:val="en-US"/>
        </w:rPr>
        <w:t>. Printing the analysis report</w:t>
      </w:r>
      <w:bookmarkEnd w:id="23"/>
    </w:p>
    <w:p w:rsidR="008B643A" w:rsidRDefault="008B643A">
      <w:pPr>
        <w:pStyle w:val="Textbody"/>
        <w:spacing w:after="0"/>
        <w:rPr>
          <w:lang w:val="en-US"/>
        </w:rPr>
      </w:pPr>
    </w:p>
    <w:p w:rsidR="008B643A" w:rsidRDefault="00204C39">
      <w:pPr>
        <w:pStyle w:val="Standard"/>
        <w:jc w:val="both"/>
        <w:rPr>
          <w:lang w:val="en-US" w:eastAsia="pl-PL"/>
        </w:rPr>
      </w:pPr>
      <w:r>
        <w:rPr>
          <w:lang w:val="en-US" w:eastAsia="pl-PL"/>
        </w:rPr>
        <w:tab/>
        <w:t xml:space="preserve">Following the calculation, the user can print a detailed report on the test. An example of such report is shown in </w:t>
      </w:r>
      <w:r>
        <w:rPr>
          <w:b/>
          <w:bCs/>
          <w:lang w:val="en-US" w:eastAsia="pl-PL"/>
        </w:rPr>
        <w:t>Figure 10</w:t>
      </w:r>
      <w:r>
        <w:rPr>
          <w:lang w:val="en-US" w:eastAsia="pl-PL"/>
        </w:rPr>
        <w:t>. Specific details on the test such as the description, surname of the researcher, name of the cell line and concentration of cells, date of the test and optional comments are printed at the top of the report. Below are the IC</w:t>
      </w:r>
      <w:r>
        <w:rPr>
          <w:vertAlign w:val="subscript"/>
          <w:lang w:val="en-US" w:eastAsia="pl-PL"/>
        </w:rPr>
        <w:t>50</w:t>
      </w:r>
      <w:r>
        <w:rPr>
          <w:lang w:val="en-US" w:eastAsia="pl-PL"/>
        </w:rPr>
        <w:t xml:space="preserve"> values for every compound tested, </w:t>
      </w:r>
      <w:r w:rsidR="00FC20D5">
        <w:rPr>
          <w:lang w:val="en-US" w:eastAsia="pl-PL"/>
        </w:rPr>
        <w:t>I</w:t>
      </w:r>
      <w:r w:rsidR="00FC20D5" w:rsidRPr="00FC20D5">
        <w:rPr>
          <w:vertAlign w:val="subscript"/>
          <w:lang w:val="en-US" w:eastAsia="pl-PL"/>
        </w:rPr>
        <w:t>max</w:t>
      </w:r>
      <w:r w:rsidR="00FC20D5">
        <w:rPr>
          <w:lang w:val="en-US" w:eastAsia="pl-PL"/>
        </w:rPr>
        <w:t xml:space="preserve">, </w:t>
      </w:r>
      <w:r>
        <w:rPr>
          <w:lang w:val="en-US" w:eastAsia="pl-PL"/>
        </w:rPr>
        <w:t xml:space="preserve">their dose-response curves, dose ranges used, </w:t>
      </w:r>
      <w:proofErr w:type="spellStart"/>
      <w:r>
        <w:rPr>
          <w:lang w:val="en-US" w:eastAsia="pl-PL"/>
        </w:rPr>
        <w:t>absorbances</w:t>
      </w:r>
      <w:proofErr w:type="spellEnd"/>
      <w:r>
        <w:rPr>
          <w:lang w:val="en-US" w:eastAsia="pl-PL"/>
        </w:rPr>
        <w:t xml:space="preserve"> obtained</w:t>
      </w:r>
      <w:r w:rsidR="00370843">
        <w:rPr>
          <w:lang w:val="en-US" w:eastAsia="pl-PL"/>
        </w:rPr>
        <w:t>,</w:t>
      </w:r>
      <w:r>
        <w:rPr>
          <w:lang w:val="en-US" w:eastAsia="pl-PL"/>
        </w:rPr>
        <w:t xml:space="preserve"> and percentages of inhibition counted. The data are identical to those shown on the </w:t>
      </w:r>
      <w:r>
        <w:rPr>
          <w:b/>
          <w:bCs/>
          <w:lang w:val="en-US" w:eastAsia="pl-PL"/>
        </w:rPr>
        <w:t>Results</w:t>
      </w:r>
      <w:r>
        <w:rPr>
          <w:lang w:val="en-US" w:eastAsia="pl-PL"/>
        </w:rPr>
        <w:t xml:space="preserve"> and </w:t>
      </w:r>
      <w:r>
        <w:rPr>
          <w:b/>
          <w:bCs/>
          <w:lang w:val="en-US" w:eastAsia="pl-PL"/>
        </w:rPr>
        <w:t>Graphs</w:t>
      </w:r>
      <w:r>
        <w:rPr>
          <w:lang w:val="en-US" w:eastAsia="pl-PL"/>
        </w:rPr>
        <w:t xml:space="preserve"> pages described previously (see </w:t>
      </w:r>
      <w:r>
        <w:rPr>
          <w:b/>
          <w:bCs/>
          <w:i/>
          <w:iCs/>
          <w:lang w:val="en-US" w:eastAsia="pl-PL"/>
        </w:rPr>
        <w:t>3.</w:t>
      </w:r>
      <w:r w:rsidR="0091352F">
        <w:rPr>
          <w:b/>
          <w:bCs/>
          <w:i/>
          <w:iCs/>
          <w:lang w:val="en-US" w:eastAsia="pl-PL"/>
        </w:rPr>
        <w:t>6</w:t>
      </w:r>
      <w:r>
        <w:rPr>
          <w:b/>
          <w:bCs/>
          <w:i/>
          <w:iCs/>
          <w:lang w:val="en-US" w:eastAsia="pl-PL"/>
        </w:rPr>
        <w:t>. Results of the analysis and their interpretation</w:t>
      </w:r>
      <w:r>
        <w:rPr>
          <w:lang w:val="en-US" w:eastAsia="pl-PL"/>
        </w:rPr>
        <w:t xml:space="preserve"> section). Information on the control row section contains the average </w:t>
      </w:r>
      <w:proofErr w:type="spellStart"/>
      <w:r>
        <w:rPr>
          <w:lang w:val="en-US" w:eastAsia="pl-PL"/>
        </w:rPr>
        <w:t>absorbances</w:t>
      </w:r>
      <w:proofErr w:type="spellEnd"/>
      <w:r>
        <w:rPr>
          <w:lang w:val="en-US" w:eastAsia="pl-PL"/>
        </w:rPr>
        <w:t xml:space="preserve"> and their SD for the control of untreated cells and the medium background, respectively. The type of the method used for the estimation of the IC</w:t>
      </w:r>
      <w:r>
        <w:rPr>
          <w:vertAlign w:val="subscript"/>
          <w:lang w:val="en-US" w:eastAsia="pl-PL"/>
        </w:rPr>
        <w:t>50</w:t>
      </w:r>
      <w:r>
        <w:rPr>
          <w:lang w:val="en-US" w:eastAsia="pl-PL"/>
        </w:rPr>
        <w:t xml:space="preserve"> value and axes transformations </w:t>
      </w:r>
      <w:r w:rsidR="0091352F">
        <w:rPr>
          <w:lang w:val="en-US" w:eastAsia="pl-PL"/>
        </w:rPr>
        <w:t>are</w:t>
      </w:r>
      <w:r w:rsidR="00370843">
        <w:rPr>
          <w:lang w:val="en-US" w:eastAsia="pl-PL"/>
        </w:rPr>
        <w:t xml:space="preserve"> </w:t>
      </w:r>
      <w:r>
        <w:rPr>
          <w:lang w:val="en-US" w:eastAsia="pl-PL"/>
        </w:rPr>
        <w:t>also specified.</w:t>
      </w:r>
    </w:p>
    <w:p w:rsidR="008B643A" w:rsidRDefault="00204C39">
      <w:pPr>
        <w:pStyle w:val="Standard"/>
        <w:jc w:val="both"/>
        <w:rPr>
          <w:lang w:val="en-US" w:eastAsia="pl-PL"/>
        </w:rPr>
      </w:pPr>
      <w:r>
        <w:rPr>
          <w:lang w:val="en-US" w:eastAsia="pl-PL"/>
        </w:rPr>
        <w:tab/>
        <w:t>A table with raw plate data is printed at the bottom part of the report. Values are highlighted in color depending on whether they were used in the calculation or not</w:t>
      </w:r>
      <w:r w:rsidR="00370843">
        <w:rPr>
          <w:lang w:val="en-US" w:eastAsia="pl-PL"/>
        </w:rPr>
        <w:t xml:space="preserve"> and if they</w:t>
      </w:r>
      <w:r>
        <w:rPr>
          <w:lang w:val="en-US" w:eastAsia="pl-PL"/>
        </w:rPr>
        <w:t xml:space="preserve"> were noted as outliers or not. In case of manual modification of some raw data before analysis, both the original and the modified values are printed. In addition, color absorbance highlighting for easy visual data assessment could also </w:t>
      </w:r>
      <w:r w:rsidR="00370843">
        <w:rPr>
          <w:lang w:val="en-US" w:eastAsia="pl-PL"/>
        </w:rPr>
        <w:t xml:space="preserve">be </w:t>
      </w:r>
      <w:r>
        <w:rPr>
          <w:lang w:val="en-US" w:eastAsia="pl-PL"/>
        </w:rPr>
        <w:t xml:space="preserve">printed in the report if </w:t>
      </w:r>
      <w:r w:rsidR="00370843">
        <w:rPr>
          <w:lang w:val="en-US" w:eastAsia="pl-PL"/>
        </w:rPr>
        <w:t xml:space="preserve">the </w:t>
      </w:r>
      <w:r>
        <w:rPr>
          <w:lang w:val="en-US" w:eastAsia="pl-PL"/>
        </w:rPr>
        <w:t xml:space="preserve">user specified it on the </w:t>
      </w:r>
      <w:r>
        <w:rPr>
          <w:b/>
          <w:bCs/>
          <w:lang w:val="en-US" w:eastAsia="pl-PL"/>
        </w:rPr>
        <w:t>Options</w:t>
      </w:r>
      <w:r>
        <w:rPr>
          <w:lang w:val="en-US" w:eastAsia="pl-PL"/>
        </w:rPr>
        <w:t xml:space="preserve"> page. Even if a</w:t>
      </w:r>
      <w:r w:rsidR="00C93DE6">
        <w:rPr>
          <w:lang w:val="en-US" w:eastAsia="pl-PL"/>
        </w:rPr>
        <w:t>n</w:t>
      </w:r>
      <w:r>
        <w:rPr>
          <w:lang w:val="en-US" w:eastAsia="pl-PL"/>
        </w:rPr>
        <w:t xml:space="preserve"> original file was accidentally lost, a hard copy of the report could be used to restore the raw data and repeat </w:t>
      </w:r>
      <w:r w:rsidR="00C93DE6">
        <w:rPr>
          <w:lang w:val="en-US" w:eastAsia="pl-PL"/>
        </w:rPr>
        <w:t xml:space="preserve">the </w:t>
      </w:r>
      <w:r>
        <w:rPr>
          <w:lang w:val="en-US" w:eastAsia="pl-PL"/>
        </w:rPr>
        <w:t>analysis i</w:t>
      </w:r>
      <w:r w:rsidR="00C93DE6">
        <w:rPr>
          <w:lang w:val="en-US" w:eastAsia="pl-PL"/>
        </w:rPr>
        <w:t>f necessary</w:t>
      </w:r>
      <w:r>
        <w:rPr>
          <w:lang w:val="en-US" w:eastAsia="pl-PL"/>
        </w:rPr>
        <w:t>. Finally, the path to the original file containing the raw data</w:t>
      </w:r>
      <w:r w:rsidR="00C93DE6">
        <w:rPr>
          <w:lang w:val="en-US" w:eastAsia="pl-PL"/>
        </w:rPr>
        <w:t xml:space="preserve"> along with</w:t>
      </w:r>
      <w:r>
        <w:rPr>
          <w:lang w:val="en-US" w:eastAsia="pl-PL"/>
        </w:rPr>
        <w:t xml:space="preserve"> its date and time are printed below the table with absorbance values.  </w:t>
      </w:r>
    </w:p>
    <w:p w:rsidR="008B643A" w:rsidRDefault="00204C39">
      <w:pPr>
        <w:pStyle w:val="Standard"/>
        <w:rPr>
          <w:lang w:val="en-US" w:eastAsia="pl-PL"/>
        </w:rPr>
      </w:pPr>
      <w:r>
        <w:rPr>
          <w:lang w:val="en-US" w:eastAsia="pl-PL"/>
        </w:rPr>
        <w:t xml:space="preserve">     </w:t>
      </w:r>
    </w:p>
    <w:p w:rsidR="008B643A" w:rsidRDefault="008B643A">
      <w:pPr>
        <w:pStyle w:val="Standard"/>
        <w:rPr>
          <w:lang w:val="en-US" w:eastAsia="pl-PL"/>
        </w:rPr>
      </w:pPr>
    </w:p>
    <w:p w:rsidR="008B643A" w:rsidRPr="0091352F" w:rsidRDefault="00843872" w:rsidP="0091352F">
      <w:pPr>
        <w:pStyle w:val="Textbody"/>
        <w:pageBreakBefore/>
        <w:spacing w:after="0"/>
        <w:jc w:val="both"/>
        <w:rPr>
          <w:rFonts w:cs="Times New Roman"/>
          <w:i/>
          <w:color w:val="0000FF"/>
          <w:sz w:val="22"/>
          <w:szCs w:val="22"/>
          <w:lang w:val="en-US"/>
        </w:rPr>
      </w:pPr>
      <w:r>
        <w:rPr>
          <w:rFonts w:cs="Times New Roman"/>
          <w:i/>
          <w:noProof/>
          <w:color w:val="0000FF"/>
          <w:sz w:val="22"/>
          <w:szCs w:val="22"/>
          <w:lang w:val="ru-RU" w:eastAsia="ru-RU"/>
        </w:rPr>
        <w:lastRenderedPageBreak/>
        <w:drawing>
          <wp:inline distT="0" distB="0" distL="0" distR="0">
            <wp:extent cx="6026939" cy="8280000"/>
            <wp:effectExtent l="19050" t="0" r="0" b="0"/>
            <wp:docPr id="12" name="Рисунок 11" descr="Figure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9.png"/>
                    <pic:cNvPicPr/>
                  </pic:nvPicPr>
                  <pic:blipFill>
                    <a:blip r:embed="rId22" cstate="print"/>
                    <a:stretch>
                      <a:fillRect/>
                    </a:stretch>
                  </pic:blipFill>
                  <pic:spPr>
                    <a:xfrm>
                      <a:off x="0" y="0"/>
                      <a:ext cx="6026939" cy="8280000"/>
                    </a:xfrm>
                    <a:prstGeom prst="rect">
                      <a:avLst/>
                    </a:prstGeom>
                  </pic:spPr>
                </pic:pic>
              </a:graphicData>
            </a:graphic>
          </wp:inline>
        </w:drawing>
      </w:r>
    </w:p>
    <w:p w:rsidR="00BA0688" w:rsidRPr="0091352F" w:rsidRDefault="00BA0688" w:rsidP="0091352F">
      <w:pPr>
        <w:pStyle w:val="Textbody"/>
        <w:spacing w:after="0"/>
        <w:jc w:val="both"/>
        <w:rPr>
          <w:rFonts w:cs="Times New Roman"/>
          <w:b/>
          <w:bCs/>
          <w:i/>
          <w:iCs/>
          <w:sz w:val="22"/>
          <w:szCs w:val="22"/>
          <w:lang w:val="en-US"/>
        </w:rPr>
      </w:pPr>
    </w:p>
    <w:p w:rsidR="008B643A" w:rsidRPr="0091352F" w:rsidRDefault="00204C39" w:rsidP="0091352F">
      <w:pPr>
        <w:pStyle w:val="Textbody"/>
        <w:spacing w:after="0"/>
        <w:jc w:val="both"/>
        <w:rPr>
          <w:rFonts w:cs="Times New Roman"/>
          <w:b/>
          <w:bCs/>
          <w:i/>
          <w:iCs/>
          <w:color w:val="0000FF"/>
          <w:sz w:val="22"/>
          <w:szCs w:val="22"/>
          <w:lang w:val="en-US"/>
        </w:rPr>
      </w:pPr>
      <w:r w:rsidRPr="0091352F">
        <w:rPr>
          <w:rFonts w:cs="Times New Roman"/>
          <w:b/>
          <w:bCs/>
          <w:i/>
          <w:iCs/>
          <w:sz w:val="22"/>
          <w:szCs w:val="22"/>
          <w:lang w:val="en-US"/>
        </w:rPr>
        <w:t>Figure 10</w:t>
      </w:r>
      <w:r w:rsidRPr="0091352F">
        <w:rPr>
          <w:rFonts w:cs="Times New Roman"/>
          <w:i/>
          <w:iCs/>
          <w:sz w:val="22"/>
          <w:szCs w:val="22"/>
          <w:lang w:val="en-US"/>
        </w:rPr>
        <w:t xml:space="preserve">. </w:t>
      </w:r>
      <w:r w:rsidR="0091352F" w:rsidRPr="0091352F">
        <w:rPr>
          <w:rFonts w:cs="Times New Roman"/>
          <w:i/>
          <w:sz w:val="22"/>
          <w:szCs w:val="22"/>
          <w:lang w:val="en-US" w:eastAsia="pl-PL"/>
        </w:rPr>
        <w:t>Example of test report printed</w:t>
      </w:r>
      <w:r w:rsidR="0091352F" w:rsidRPr="0091352F">
        <w:rPr>
          <w:rFonts w:cs="Times New Roman"/>
          <w:i/>
          <w:sz w:val="22"/>
          <w:szCs w:val="22"/>
          <w:lang w:val="en-US"/>
        </w:rPr>
        <w:t xml:space="preserve">. </w:t>
      </w:r>
      <w:r w:rsidR="0091352F">
        <w:rPr>
          <w:rFonts w:cs="Times New Roman"/>
          <w:i/>
          <w:sz w:val="22"/>
          <w:szCs w:val="22"/>
          <w:lang w:val="en-US"/>
        </w:rPr>
        <w:t>It</w:t>
      </w:r>
      <w:r w:rsidR="0091352F" w:rsidRPr="0091352F">
        <w:rPr>
          <w:rFonts w:cs="Times New Roman"/>
          <w:i/>
          <w:sz w:val="22"/>
          <w:szCs w:val="22"/>
          <w:lang w:val="en-US"/>
        </w:rPr>
        <w:t xml:space="preserve"> contains the original file’s name, date and time, the name and date of the test, the calculated IC</w:t>
      </w:r>
      <w:r w:rsidR="0091352F" w:rsidRPr="0091352F">
        <w:rPr>
          <w:rFonts w:cs="Times New Roman"/>
          <w:i/>
          <w:sz w:val="22"/>
          <w:szCs w:val="22"/>
          <w:vertAlign w:val="subscript"/>
          <w:lang w:val="en-US"/>
        </w:rPr>
        <w:t>50</w:t>
      </w:r>
      <w:r w:rsidR="0091352F" w:rsidRPr="0091352F">
        <w:rPr>
          <w:rFonts w:cs="Times New Roman"/>
          <w:i/>
          <w:sz w:val="22"/>
          <w:szCs w:val="22"/>
          <w:lang w:val="en-US"/>
        </w:rPr>
        <w:t xml:space="preserve"> values,</w:t>
      </w:r>
      <w:r w:rsidR="00FC20D5">
        <w:rPr>
          <w:rFonts w:cs="Times New Roman"/>
          <w:i/>
          <w:sz w:val="22"/>
          <w:szCs w:val="22"/>
          <w:lang w:val="en-US"/>
        </w:rPr>
        <w:t xml:space="preserve"> I</w:t>
      </w:r>
      <w:r w:rsidR="00FC20D5" w:rsidRPr="00FC20D5">
        <w:rPr>
          <w:rFonts w:cs="Times New Roman"/>
          <w:i/>
          <w:sz w:val="22"/>
          <w:szCs w:val="22"/>
          <w:vertAlign w:val="subscript"/>
          <w:lang w:val="en-US"/>
        </w:rPr>
        <w:t>max</w:t>
      </w:r>
      <w:r w:rsidR="00FC20D5">
        <w:rPr>
          <w:rFonts w:cs="Times New Roman"/>
          <w:i/>
          <w:sz w:val="22"/>
          <w:szCs w:val="22"/>
          <w:lang w:val="en-US"/>
        </w:rPr>
        <w:t>,</w:t>
      </w:r>
      <w:r w:rsidR="0091352F" w:rsidRPr="0091352F">
        <w:rPr>
          <w:rFonts w:cs="Times New Roman"/>
          <w:i/>
          <w:sz w:val="22"/>
          <w:szCs w:val="22"/>
          <w:lang w:val="en-US"/>
        </w:rPr>
        <w:t xml:space="preserve"> its type, 95% confidence intervals, and goodness of fit (for regression analysis), the percentages of growth inhibition for every concentration and compound, the dose-response curves, the mean optical densities and their standard deviations, the test control values, and the type of the method used for calculation. </w:t>
      </w:r>
      <w:r w:rsidR="0091352F">
        <w:rPr>
          <w:rFonts w:cs="Times New Roman"/>
          <w:i/>
          <w:sz w:val="22"/>
          <w:szCs w:val="22"/>
          <w:lang w:val="en-US"/>
        </w:rPr>
        <w:t>R</w:t>
      </w:r>
      <w:r w:rsidR="0091352F" w:rsidRPr="0091352F">
        <w:rPr>
          <w:rFonts w:cs="Times New Roman"/>
          <w:i/>
          <w:sz w:val="22"/>
          <w:szCs w:val="22"/>
          <w:lang w:val="en-US"/>
        </w:rPr>
        <w:t>aw plate data is printed at the bottom part of the report.</w:t>
      </w:r>
    </w:p>
    <w:p w:rsidR="008B643A" w:rsidRDefault="00204C39">
      <w:pPr>
        <w:pStyle w:val="Heading11"/>
        <w:pageBreakBefore/>
        <w:spacing w:before="238" w:after="346"/>
        <w:rPr>
          <w:rFonts w:ascii="Times New Roman" w:hAnsi="Times New Roman"/>
          <w:color w:val="000080"/>
        </w:rPr>
      </w:pPr>
      <w:bookmarkStart w:id="24" w:name="_Toc388197855"/>
      <w:r>
        <w:rPr>
          <w:rFonts w:ascii="Times New Roman" w:hAnsi="Times New Roman"/>
          <w:color w:val="000080"/>
        </w:rPr>
        <w:lastRenderedPageBreak/>
        <w:t>4. References</w:t>
      </w:r>
      <w:bookmarkEnd w:id="24"/>
    </w:p>
    <w:p w:rsidR="008B643A" w:rsidRDefault="00204C39" w:rsidP="000A4C03">
      <w:pPr>
        <w:pStyle w:val="Bibliography1"/>
        <w:numPr>
          <w:ilvl w:val="0"/>
          <w:numId w:val="1"/>
        </w:numPr>
        <w:tabs>
          <w:tab w:val="clear" w:pos="9637"/>
        </w:tabs>
        <w:spacing w:after="113"/>
        <w:ind w:left="360"/>
        <w:jc w:val="both"/>
      </w:pPr>
      <w:r w:rsidRPr="000A4C03">
        <w:rPr>
          <w:rStyle w:val="bibusindexbase"/>
          <w:lang w:val="en-US"/>
        </w:rPr>
        <w:t xml:space="preserve">Shoemaker RH: </w:t>
      </w:r>
      <w:r w:rsidRPr="000A4C03">
        <w:rPr>
          <w:rStyle w:val="bibusindexbaseb"/>
          <w:b w:val="0"/>
          <w:lang w:val="en-US"/>
        </w:rPr>
        <w:t xml:space="preserve">The nci60 human </w:t>
      </w:r>
      <w:proofErr w:type="spellStart"/>
      <w:r w:rsidRPr="000A4C03">
        <w:rPr>
          <w:rStyle w:val="bibusindexbaseb"/>
          <w:b w:val="0"/>
          <w:lang w:val="en-US"/>
        </w:rPr>
        <w:t>tumour</w:t>
      </w:r>
      <w:proofErr w:type="spellEnd"/>
      <w:r w:rsidRPr="000A4C03">
        <w:rPr>
          <w:rStyle w:val="bibusindexbaseb"/>
          <w:b w:val="0"/>
          <w:lang w:val="en-US"/>
        </w:rPr>
        <w:t xml:space="preserve"> cell line anticancer drug screen</w:t>
      </w:r>
      <w:r w:rsidRPr="000A4C03">
        <w:rPr>
          <w:rStyle w:val="bibusindexbase"/>
          <w:lang w:val="en-US"/>
        </w:rPr>
        <w:t xml:space="preserve">. </w:t>
      </w:r>
      <w:r>
        <w:rPr>
          <w:rStyle w:val="bibusindexbasei"/>
        </w:rPr>
        <w:t>Nat Rev Cancer</w:t>
      </w:r>
      <w:r>
        <w:rPr>
          <w:rStyle w:val="bibusindexbase"/>
        </w:rPr>
        <w:t xml:space="preserve"> 2006, </w:t>
      </w:r>
      <w:r>
        <w:rPr>
          <w:rStyle w:val="bibusindexbaseb"/>
          <w:b w:val="0"/>
        </w:rPr>
        <w:t>6</w:t>
      </w:r>
      <w:r>
        <w:rPr>
          <w:rStyle w:val="bibusindexbase"/>
        </w:rPr>
        <w:t>:813-823.</w:t>
      </w:r>
    </w:p>
    <w:p w:rsidR="008B643A" w:rsidRDefault="00204C39" w:rsidP="000A4C03">
      <w:pPr>
        <w:pStyle w:val="Bibliography1"/>
        <w:numPr>
          <w:ilvl w:val="0"/>
          <w:numId w:val="1"/>
        </w:numPr>
        <w:tabs>
          <w:tab w:val="clear" w:pos="9637"/>
        </w:tabs>
        <w:spacing w:after="113"/>
        <w:ind w:left="360"/>
        <w:jc w:val="both"/>
      </w:pPr>
      <w:proofErr w:type="spellStart"/>
      <w:r w:rsidRPr="000A4C03">
        <w:rPr>
          <w:rStyle w:val="bibusindexbase"/>
          <w:lang w:val="en-US"/>
        </w:rPr>
        <w:t>Skehan</w:t>
      </w:r>
      <w:proofErr w:type="spellEnd"/>
      <w:r w:rsidRPr="000A4C03">
        <w:rPr>
          <w:rStyle w:val="bibusindexbase"/>
          <w:lang w:val="en-US"/>
        </w:rPr>
        <w:t xml:space="preserve"> P, </w:t>
      </w:r>
      <w:proofErr w:type="spellStart"/>
      <w:r w:rsidRPr="000A4C03">
        <w:rPr>
          <w:rStyle w:val="bibusindexbase"/>
          <w:lang w:val="en-US"/>
        </w:rPr>
        <w:t>Storeng</w:t>
      </w:r>
      <w:proofErr w:type="spellEnd"/>
      <w:r w:rsidRPr="000A4C03">
        <w:rPr>
          <w:rStyle w:val="bibusindexbase"/>
          <w:lang w:val="en-US"/>
        </w:rPr>
        <w:t xml:space="preserve"> R, </w:t>
      </w:r>
      <w:proofErr w:type="spellStart"/>
      <w:r w:rsidRPr="000A4C03">
        <w:rPr>
          <w:rStyle w:val="bibusindexbase"/>
          <w:lang w:val="en-US"/>
        </w:rPr>
        <w:t>Scudiero</w:t>
      </w:r>
      <w:proofErr w:type="spellEnd"/>
      <w:r w:rsidRPr="000A4C03">
        <w:rPr>
          <w:rStyle w:val="bibusindexbase"/>
          <w:lang w:val="en-US"/>
        </w:rPr>
        <w:t xml:space="preserve"> D, Monks A, McMahon J, </w:t>
      </w:r>
      <w:proofErr w:type="spellStart"/>
      <w:r w:rsidRPr="000A4C03">
        <w:rPr>
          <w:rStyle w:val="bibusindexbase"/>
          <w:lang w:val="en-US"/>
        </w:rPr>
        <w:t>Vistica</w:t>
      </w:r>
      <w:proofErr w:type="spellEnd"/>
      <w:r w:rsidRPr="000A4C03">
        <w:rPr>
          <w:rStyle w:val="bibusindexbase"/>
          <w:lang w:val="en-US"/>
        </w:rPr>
        <w:t xml:space="preserve"> D, Warren JT, </w:t>
      </w:r>
      <w:proofErr w:type="spellStart"/>
      <w:r w:rsidRPr="000A4C03">
        <w:rPr>
          <w:rStyle w:val="bibusindexbase"/>
          <w:lang w:val="en-US"/>
        </w:rPr>
        <w:t>Bokesch</w:t>
      </w:r>
      <w:proofErr w:type="spellEnd"/>
      <w:r w:rsidRPr="000A4C03">
        <w:rPr>
          <w:rStyle w:val="bibusindexbase"/>
          <w:lang w:val="en-US"/>
        </w:rPr>
        <w:t xml:space="preserve"> H, Kenney S, Boyd MR: </w:t>
      </w:r>
      <w:r w:rsidRPr="000A4C03">
        <w:rPr>
          <w:rStyle w:val="bibusindexbaseb"/>
          <w:b w:val="0"/>
          <w:lang w:val="en-US"/>
        </w:rPr>
        <w:t>New colorimetric cytotoxicity assay for anticancer-drug screening.</w:t>
      </w:r>
      <w:r w:rsidRPr="000A4C03">
        <w:rPr>
          <w:rStyle w:val="bibusindexbase"/>
          <w:lang w:val="en-US"/>
        </w:rPr>
        <w:br/>
      </w:r>
      <w:r>
        <w:rPr>
          <w:rStyle w:val="bibusindexbasei"/>
        </w:rPr>
        <w:t>J Natl Cancer Inst</w:t>
      </w:r>
      <w:r>
        <w:rPr>
          <w:rStyle w:val="bibusindexbase"/>
        </w:rPr>
        <w:t xml:space="preserve"> 1990, </w:t>
      </w:r>
      <w:r>
        <w:rPr>
          <w:rStyle w:val="bibusindexbaseb"/>
          <w:b w:val="0"/>
        </w:rPr>
        <w:t>82</w:t>
      </w:r>
      <w:r>
        <w:rPr>
          <w:rStyle w:val="bibusindexbase"/>
        </w:rPr>
        <w:t>:1107-1112.</w:t>
      </w:r>
    </w:p>
    <w:p w:rsidR="008B643A" w:rsidRDefault="00204C39" w:rsidP="000A4C03">
      <w:pPr>
        <w:pStyle w:val="Bibliography1"/>
        <w:numPr>
          <w:ilvl w:val="0"/>
          <w:numId w:val="1"/>
        </w:numPr>
        <w:tabs>
          <w:tab w:val="clear" w:pos="9637"/>
        </w:tabs>
        <w:spacing w:after="113"/>
        <w:ind w:left="360"/>
        <w:jc w:val="both"/>
      </w:pPr>
      <w:proofErr w:type="spellStart"/>
      <w:r w:rsidRPr="000A4C03">
        <w:rPr>
          <w:rStyle w:val="bibusindexbase"/>
          <w:lang w:val="en-US"/>
        </w:rPr>
        <w:t>Mosmann</w:t>
      </w:r>
      <w:proofErr w:type="spellEnd"/>
      <w:r w:rsidRPr="000A4C03">
        <w:rPr>
          <w:rStyle w:val="bibusindexbase"/>
          <w:lang w:val="en-US"/>
        </w:rPr>
        <w:t xml:space="preserve"> T: </w:t>
      </w:r>
      <w:r w:rsidRPr="000A4C03">
        <w:rPr>
          <w:rStyle w:val="bibusindexbaseb"/>
          <w:b w:val="0"/>
          <w:lang w:val="en-US"/>
        </w:rPr>
        <w:t>Rapid colorimetric assay for cellular growth and survival: application to proliferation and cytotoxicity assays.</w:t>
      </w:r>
      <w:r w:rsidRPr="000A4C03">
        <w:rPr>
          <w:rStyle w:val="bibusindexbase"/>
          <w:lang w:val="en-US"/>
        </w:rPr>
        <w:t xml:space="preserve"> </w:t>
      </w:r>
      <w:r>
        <w:rPr>
          <w:rStyle w:val="bibusindexbasei"/>
        </w:rPr>
        <w:t>J Immunol Methods</w:t>
      </w:r>
      <w:r>
        <w:rPr>
          <w:rStyle w:val="bibusindexbase"/>
        </w:rPr>
        <w:t xml:space="preserve"> 1983, </w:t>
      </w:r>
      <w:r>
        <w:rPr>
          <w:rStyle w:val="bibusindexbaseb"/>
          <w:b w:val="0"/>
        </w:rPr>
        <w:t>65</w:t>
      </w:r>
      <w:r>
        <w:rPr>
          <w:rStyle w:val="bibusindexbase"/>
        </w:rPr>
        <w:t>:55-63.</w:t>
      </w:r>
    </w:p>
    <w:p w:rsidR="008B643A" w:rsidRDefault="00204C39" w:rsidP="000A4C03">
      <w:pPr>
        <w:pStyle w:val="Bibliography1"/>
        <w:numPr>
          <w:ilvl w:val="0"/>
          <w:numId w:val="1"/>
        </w:numPr>
        <w:tabs>
          <w:tab w:val="clear" w:pos="9637"/>
        </w:tabs>
        <w:spacing w:after="113"/>
        <w:ind w:left="360"/>
        <w:jc w:val="both"/>
      </w:pPr>
      <w:r w:rsidRPr="000A4C03">
        <w:rPr>
          <w:rStyle w:val="bibusindexbase"/>
          <w:lang w:val="en-US"/>
        </w:rPr>
        <w:t xml:space="preserve">Le Chap T, </w:t>
      </w:r>
      <w:proofErr w:type="spellStart"/>
      <w:r w:rsidRPr="000A4C03">
        <w:rPr>
          <w:rStyle w:val="bibusindexbase"/>
          <w:lang w:val="en-US"/>
        </w:rPr>
        <w:t>Grambsch</w:t>
      </w:r>
      <w:proofErr w:type="spellEnd"/>
      <w:r w:rsidRPr="000A4C03">
        <w:rPr>
          <w:rStyle w:val="bibusindexbase"/>
          <w:lang w:val="en-US"/>
        </w:rPr>
        <w:t xml:space="preserve"> PM, Liu A: </w:t>
      </w:r>
      <w:r w:rsidRPr="000A4C03">
        <w:rPr>
          <w:rStyle w:val="bibusindexbaseb"/>
          <w:b w:val="0"/>
          <w:lang w:val="en-US"/>
        </w:rPr>
        <w:t>Estimation of cancer drug potencies and relative potencies from in vitro data.</w:t>
      </w:r>
      <w:r w:rsidRPr="000A4C03">
        <w:rPr>
          <w:rStyle w:val="bibusindexbase"/>
          <w:lang w:val="en-US"/>
        </w:rPr>
        <w:t xml:space="preserve"> </w:t>
      </w:r>
      <w:r>
        <w:rPr>
          <w:rStyle w:val="bibusindexbasei"/>
        </w:rPr>
        <w:t>J Biopharm Stat</w:t>
      </w:r>
      <w:r>
        <w:rPr>
          <w:rStyle w:val="bibusindexbase"/>
        </w:rPr>
        <w:t xml:space="preserve"> 2005, </w:t>
      </w:r>
      <w:r>
        <w:rPr>
          <w:rStyle w:val="bibusindexbaseb"/>
          <w:b w:val="0"/>
        </w:rPr>
        <w:t>15</w:t>
      </w:r>
      <w:r>
        <w:rPr>
          <w:rStyle w:val="bibusindexbase"/>
        </w:rPr>
        <w:t>:903-912.</w:t>
      </w:r>
    </w:p>
    <w:p w:rsidR="008B643A" w:rsidRDefault="00204C39" w:rsidP="000A4C03">
      <w:pPr>
        <w:pStyle w:val="Bibliography1"/>
        <w:numPr>
          <w:ilvl w:val="0"/>
          <w:numId w:val="1"/>
        </w:numPr>
        <w:tabs>
          <w:tab w:val="clear" w:pos="9637"/>
        </w:tabs>
        <w:spacing w:after="113"/>
        <w:ind w:left="360"/>
        <w:jc w:val="both"/>
        <w:rPr>
          <w:lang w:val="en-US" w:eastAsia="pl-PL"/>
        </w:rPr>
      </w:pPr>
      <w:r>
        <w:rPr>
          <w:rStyle w:val="bibusindexbase"/>
          <w:lang w:val="en-US" w:eastAsia="pl-PL"/>
        </w:rPr>
        <w:t xml:space="preserve">Reed L, </w:t>
      </w:r>
      <w:proofErr w:type="spellStart"/>
      <w:r>
        <w:rPr>
          <w:rStyle w:val="bibusindexbase"/>
          <w:lang w:val="en-US" w:eastAsia="pl-PL"/>
        </w:rPr>
        <w:t>Muench</w:t>
      </w:r>
      <w:proofErr w:type="spellEnd"/>
      <w:r>
        <w:rPr>
          <w:rStyle w:val="bibusindexbase"/>
          <w:lang w:val="en-US" w:eastAsia="pl-PL"/>
        </w:rPr>
        <w:t xml:space="preserve"> H: </w:t>
      </w:r>
      <w:r>
        <w:rPr>
          <w:rStyle w:val="bibusindexbaseb"/>
          <w:b w:val="0"/>
          <w:lang w:val="en-US" w:eastAsia="pl-PL"/>
        </w:rPr>
        <w:t>A simple method of estimating fifty percent endpoints</w:t>
      </w:r>
      <w:r>
        <w:rPr>
          <w:rStyle w:val="bibusindexbase"/>
          <w:lang w:val="en-US" w:eastAsia="pl-PL"/>
        </w:rPr>
        <w:t xml:space="preserve">. </w:t>
      </w:r>
      <w:r>
        <w:rPr>
          <w:rStyle w:val="bibusindexbasei"/>
          <w:lang w:val="en-US" w:eastAsia="pl-PL"/>
        </w:rPr>
        <w:t xml:space="preserve">Am J </w:t>
      </w:r>
      <w:proofErr w:type="spellStart"/>
      <w:r>
        <w:rPr>
          <w:rStyle w:val="bibusindexbasei"/>
          <w:lang w:val="en-US" w:eastAsia="pl-PL"/>
        </w:rPr>
        <w:t>Hyg</w:t>
      </w:r>
      <w:proofErr w:type="spellEnd"/>
      <w:r>
        <w:rPr>
          <w:rStyle w:val="bibusindexbase"/>
          <w:lang w:val="en-US" w:eastAsia="pl-PL"/>
        </w:rPr>
        <w:t xml:space="preserve"> 1938, </w:t>
      </w:r>
      <w:r>
        <w:rPr>
          <w:rStyle w:val="bibusindexbaseb"/>
          <w:b w:val="0"/>
          <w:lang w:val="en-US" w:eastAsia="pl-PL"/>
        </w:rPr>
        <w:t>27</w:t>
      </w:r>
      <w:r>
        <w:rPr>
          <w:rStyle w:val="bibusindexbase"/>
          <w:lang w:val="en-US" w:eastAsia="pl-PL"/>
        </w:rPr>
        <w:t>:493.</w:t>
      </w:r>
    </w:p>
    <w:p w:rsidR="008B643A" w:rsidRDefault="008B643A">
      <w:pPr>
        <w:pStyle w:val="Bibliography1"/>
        <w:tabs>
          <w:tab w:val="clear" w:pos="9637"/>
          <w:tab w:val="left" w:pos="567"/>
        </w:tabs>
        <w:rPr>
          <w:lang w:val="en-US" w:eastAsia="pl-PL"/>
        </w:rPr>
      </w:pPr>
    </w:p>
    <w:sectPr w:rsidR="008B643A" w:rsidSect="008B643A">
      <w:footerReference w:type="default" r:id="rId23"/>
      <w:pgSz w:w="11905" w:h="16837"/>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558" w:rsidRDefault="001A0558" w:rsidP="008B643A">
      <w:r>
        <w:separator/>
      </w:r>
    </w:p>
  </w:endnote>
  <w:endnote w:type="continuationSeparator" w:id="0">
    <w:p w:rsidR="001A0558" w:rsidRDefault="001A0558" w:rsidP="008B64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E">
    <w:charset w:val="00"/>
    <w:family w:val="roman"/>
    <w:pitch w:val="variable"/>
    <w:sig w:usb0="00000000" w:usb1="00000000" w:usb2="00000000" w:usb3="00000000" w:csb0="00000000"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43A" w:rsidRDefault="00E326FE">
    <w:pPr>
      <w:pStyle w:val="Footer1"/>
      <w:jc w:val="right"/>
    </w:pPr>
    <w:r>
      <w:fldChar w:fldCharType="begin"/>
    </w:r>
    <w:r w:rsidR="00A25812">
      <w:instrText xml:space="preserve"> PAGE </w:instrText>
    </w:r>
    <w:r>
      <w:fldChar w:fldCharType="separate"/>
    </w:r>
    <w:r w:rsidR="00AC5E0D">
      <w:rPr>
        <w:noProof/>
      </w:rPr>
      <w:t>15</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558" w:rsidRDefault="001A0558" w:rsidP="008B643A">
      <w:r w:rsidRPr="008B643A">
        <w:rPr>
          <w:color w:val="000000"/>
        </w:rPr>
        <w:separator/>
      </w:r>
    </w:p>
  </w:footnote>
  <w:footnote w:type="continuationSeparator" w:id="0">
    <w:p w:rsidR="001A0558" w:rsidRDefault="001A0558" w:rsidP="008B64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E95B91"/>
    <w:multiLevelType w:val="multilevel"/>
    <w:tmpl w:val="21DEB34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6"/>
  <w:autoHyphenation/>
  <w:characterSpacingControl w:val="doNotCompress"/>
  <w:footnotePr>
    <w:footnote w:id="-1"/>
    <w:footnote w:id="0"/>
  </w:footnotePr>
  <w:endnotePr>
    <w:endnote w:id="-1"/>
    <w:endnote w:id="0"/>
  </w:endnotePr>
  <w:compat/>
  <w:rsids>
    <w:rsidRoot w:val="008B643A"/>
    <w:rsid w:val="000A4C03"/>
    <w:rsid w:val="0016592B"/>
    <w:rsid w:val="00172897"/>
    <w:rsid w:val="001A0558"/>
    <w:rsid w:val="001A73AF"/>
    <w:rsid w:val="001B4E49"/>
    <w:rsid w:val="001C30D5"/>
    <w:rsid w:val="001E1507"/>
    <w:rsid w:val="00204C39"/>
    <w:rsid w:val="00206A1F"/>
    <w:rsid w:val="00206FAF"/>
    <w:rsid w:val="0021123D"/>
    <w:rsid w:val="002601F1"/>
    <w:rsid w:val="002F5A83"/>
    <w:rsid w:val="00370843"/>
    <w:rsid w:val="00373A0D"/>
    <w:rsid w:val="003B1F79"/>
    <w:rsid w:val="003F4719"/>
    <w:rsid w:val="004B181F"/>
    <w:rsid w:val="00540E92"/>
    <w:rsid w:val="005C7D58"/>
    <w:rsid w:val="00687950"/>
    <w:rsid w:val="0069551A"/>
    <w:rsid w:val="006D27B7"/>
    <w:rsid w:val="00710736"/>
    <w:rsid w:val="007331D8"/>
    <w:rsid w:val="00751CF8"/>
    <w:rsid w:val="00843872"/>
    <w:rsid w:val="008A2E76"/>
    <w:rsid w:val="008B643A"/>
    <w:rsid w:val="0091352F"/>
    <w:rsid w:val="009C0F30"/>
    <w:rsid w:val="00A073EE"/>
    <w:rsid w:val="00A25812"/>
    <w:rsid w:val="00AC5E0D"/>
    <w:rsid w:val="00B404B3"/>
    <w:rsid w:val="00B43CE0"/>
    <w:rsid w:val="00BA0688"/>
    <w:rsid w:val="00BA38DF"/>
    <w:rsid w:val="00BD0C05"/>
    <w:rsid w:val="00C27CB8"/>
    <w:rsid w:val="00C307D7"/>
    <w:rsid w:val="00C410B1"/>
    <w:rsid w:val="00C63075"/>
    <w:rsid w:val="00C8460B"/>
    <w:rsid w:val="00C93DE6"/>
    <w:rsid w:val="00D323A0"/>
    <w:rsid w:val="00D67D2C"/>
    <w:rsid w:val="00E326FE"/>
    <w:rsid w:val="00E5141A"/>
    <w:rsid w:val="00E85CC9"/>
    <w:rsid w:val="00EC1F55"/>
    <w:rsid w:val="00F50AB6"/>
    <w:rsid w:val="00FB04FC"/>
    <w:rsid w:val="00FC20D5"/>
    <w:rsid w:val="00FD27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ahoma"/>
        <w:kern w:val="3"/>
        <w:sz w:val="24"/>
        <w:szCs w:val="24"/>
        <w:lang w:val="pl-PL"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CE0"/>
  </w:style>
  <w:style w:type="paragraph" w:styleId="1">
    <w:name w:val="heading 1"/>
    <w:basedOn w:val="a"/>
    <w:next w:val="a"/>
    <w:link w:val="10"/>
    <w:uiPriority w:val="9"/>
    <w:qFormat/>
    <w:rsid w:val="00BA38D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8B643A"/>
  </w:style>
  <w:style w:type="paragraph" w:customStyle="1" w:styleId="Textbody">
    <w:name w:val="Text body"/>
    <w:basedOn w:val="Standard"/>
    <w:rsid w:val="008B643A"/>
    <w:pPr>
      <w:spacing w:after="120"/>
    </w:pPr>
  </w:style>
  <w:style w:type="paragraph" w:customStyle="1" w:styleId="Heading">
    <w:name w:val="Heading"/>
    <w:basedOn w:val="Standard"/>
    <w:next w:val="Textbody"/>
    <w:rsid w:val="008B643A"/>
    <w:pPr>
      <w:keepNext/>
      <w:spacing w:before="240" w:after="120"/>
    </w:pPr>
    <w:rPr>
      <w:rFonts w:ascii="Arial" w:eastAsia="MS Mincho" w:hAnsi="Arial"/>
      <w:sz w:val="28"/>
      <w:szCs w:val="28"/>
    </w:rPr>
  </w:style>
  <w:style w:type="paragraph" w:customStyle="1" w:styleId="Heading11">
    <w:name w:val="Heading 11"/>
    <w:basedOn w:val="Heading"/>
    <w:next w:val="Textbody"/>
    <w:rsid w:val="008B643A"/>
    <w:pPr>
      <w:outlineLvl w:val="0"/>
    </w:pPr>
    <w:rPr>
      <w:b/>
      <w:bCs/>
    </w:rPr>
  </w:style>
  <w:style w:type="paragraph" w:customStyle="1" w:styleId="Heading21">
    <w:name w:val="Heading 21"/>
    <w:basedOn w:val="Heading"/>
    <w:next w:val="Textbody"/>
    <w:rsid w:val="008B643A"/>
    <w:pPr>
      <w:outlineLvl w:val="1"/>
    </w:pPr>
    <w:rPr>
      <w:b/>
      <w:bCs/>
      <w:i/>
      <w:iCs/>
    </w:rPr>
  </w:style>
  <w:style w:type="paragraph" w:styleId="a3">
    <w:name w:val="List"/>
    <w:basedOn w:val="Textbody"/>
    <w:rsid w:val="008B643A"/>
  </w:style>
  <w:style w:type="paragraph" w:customStyle="1" w:styleId="Footer1">
    <w:name w:val="Footer1"/>
    <w:basedOn w:val="Standard"/>
    <w:rsid w:val="008B643A"/>
    <w:pPr>
      <w:suppressLineNumbers/>
      <w:tabs>
        <w:tab w:val="center" w:pos="4818"/>
        <w:tab w:val="right" w:pos="9637"/>
      </w:tabs>
    </w:pPr>
  </w:style>
  <w:style w:type="paragraph" w:customStyle="1" w:styleId="TableContents">
    <w:name w:val="Table Contents"/>
    <w:basedOn w:val="Standard"/>
    <w:rsid w:val="008B643A"/>
    <w:pPr>
      <w:suppressLineNumbers/>
    </w:pPr>
  </w:style>
  <w:style w:type="paragraph" w:customStyle="1" w:styleId="Caption1">
    <w:name w:val="Caption1"/>
    <w:basedOn w:val="Standard"/>
    <w:rsid w:val="008B643A"/>
    <w:pPr>
      <w:suppressLineNumbers/>
      <w:spacing w:before="120" w:after="120"/>
    </w:pPr>
    <w:rPr>
      <w:i/>
      <w:iCs/>
    </w:rPr>
  </w:style>
  <w:style w:type="paragraph" w:customStyle="1" w:styleId="Index">
    <w:name w:val="Index"/>
    <w:basedOn w:val="Standard"/>
    <w:rsid w:val="008B643A"/>
    <w:pPr>
      <w:suppressLineNumbers/>
    </w:pPr>
  </w:style>
  <w:style w:type="paragraph" w:customStyle="1" w:styleId="ContentsHeading">
    <w:name w:val="Contents Heading"/>
    <w:basedOn w:val="Heading"/>
    <w:rsid w:val="008B643A"/>
    <w:pPr>
      <w:suppressLineNumbers/>
    </w:pPr>
    <w:rPr>
      <w:b/>
      <w:bCs/>
      <w:sz w:val="32"/>
      <w:szCs w:val="32"/>
    </w:rPr>
  </w:style>
  <w:style w:type="paragraph" w:customStyle="1" w:styleId="Contents1">
    <w:name w:val="Contents 1"/>
    <w:basedOn w:val="Index"/>
    <w:rsid w:val="008B643A"/>
    <w:pPr>
      <w:tabs>
        <w:tab w:val="right" w:leader="dot" w:pos="9637"/>
      </w:tabs>
    </w:pPr>
  </w:style>
  <w:style w:type="paragraph" w:customStyle="1" w:styleId="Contents2">
    <w:name w:val="Contents 2"/>
    <w:basedOn w:val="Index"/>
    <w:rsid w:val="008B643A"/>
    <w:pPr>
      <w:tabs>
        <w:tab w:val="right" w:leader="dot" w:pos="9637"/>
      </w:tabs>
      <w:ind w:left="283"/>
    </w:pPr>
  </w:style>
  <w:style w:type="paragraph" w:customStyle="1" w:styleId="BibliographyHeading">
    <w:name w:val="Bibliography Heading"/>
    <w:basedOn w:val="Heading"/>
    <w:rsid w:val="008B643A"/>
    <w:pPr>
      <w:suppressLineNumbers/>
    </w:pPr>
    <w:rPr>
      <w:b/>
      <w:bCs/>
      <w:sz w:val="32"/>
      <w:szCs w:val="32"/>
    </w:rPr>
  </w:style>
  <w:style w:type="paragraph" w:customStyle="1" w:styleId="Bibliography1">
    <w:name w:val="Bibliography 1"/>
    <w:basedOn w:val="Index"/>
    <w:rsid w:val="008B643A"/>
    <w:pPr>
      <w:tabs>
        <w:tab w:val="right" w:leader="dot" w:pos="9637"/>
      </w:tabs>
    </w:pPr>
  </w:style>
  <w:style w:type="paragraph" w:customStyle="1" w:styleId="Tekstpodstawowy3">
    <w:name w:val="Tekst podstawowy 3"/>
    <w:basedOn w:val="Standard"/>
    <w:rsid w:val="008B643A"/>
    <w:pPr>
      <w:autoSpaceDE w:val="0"/>
      <w:jc w:val="both"/>
    </w:pPr>
    <w:rPr>
      <w:lang w:val="en-US"/>
    </w:rPr>
  </w:style>
  <w:style w:type="character" w:customStyle="1" w:styleId="NumberingSymbols">
    <w:name w:val="Numbering Symbols"/>
    <w:rsid w:val="008B643A"/>
  </w:style>
  <w:style w:type="character" w:customStyle="1" w:styleId="Internetlink">
    <w:name w:val="Internet link"/>
    <w:rsid w:val="008B643A"/>
    <w:rPr>
      <w:color w:val="000080"/>
      <w:u w:val="single"/>
    </w:rPr>
  </w:style>
  <w:style w:type="character" w:customStyle="1" w:styleId="bibuscitbase">
    <w:name w:val="bibus_cit_base"/>
    <w:rsid w:val="008B643A"/>
    <w:rPr>
      <w:position w:val="0"/>
      <w:vertAlign w:val="superscript"/>
    </w:rPr>
  </w:style>
  <w:style w:type="character" w:customStyle="1" w:styleId="bibusindexbase">
    <w:name w:val="bibus_index_base"/>
    <w:rsid w:val="008B643A"/>
    <w:rPr>
      <w:position w:val="0"/>
      <w:vertAlign w:val="baseline"/>
    </w:rPr>
  </w:style>
  <w:style w:type="character" w:customStyle="1" w:styleId="bibusindexbasei">
    <w:name w:val="bibus_index_basei"/>
    <w:basedOn w:val="bibusindexbase"/>
    <w:rsid w:val="008B643A"/>
    <w:rPr>
      <w:i/>
      <w:position w:val="0"/>
      <w:vertAlign w:val="baseline"/>
    </w:rPr>
  </w:style>
  <w:style w:type="character" w:customStyle="1" w:styleId="bibusindexbases">
    <w:name w:val="bibus_index_bases"/>
    <w:basedOn w:val="bibusindexbase"/>
    <w:rsid w:val="008B643A"/>
    <w:rPr>
      <w:smallCaps/>
      <w:position w:val="0"/>
      <w:vertAlign w:val="baseline"/>
    </w:rPr>
  </w:style>
  <w:style w:type="character" w:customStyle="1" w:styleId="bibusindexbaseb">
    <w:name w:val="bibus_index_baseb"/>
    <w:basedOn w:val="bibusindexbase"/>
    <w:rsid w:val="008B643A"/>
    <w:rPr>
      <w:b/>
      <w:position w:val="0"/>
      <w:vertAlign w:val="baseline"/>
    </w:rPr>
  </w:style>
  <w:style w:type="paragraph" w:styleId="a4">
    <w:name w:val="footer"/>
    <w:basedOn w:val="a"/>
    <w:link w:val="a5"/>
    <w:uiPriority w:val="99"/>
    <w:semiHidden/>
    <w:unhideWhenUsed/>
    <w:rsid w:val="008B643A"/>
    <w:pPr>
      <w:tabs>
        <w:tab w:val="center" w:pos="4844"/>
        <w:tab w:val="right" w:pos="9689"/>
      </w:tabs>
    </w:pPr>
  </w:style>
  <w:style w:type="character" w:customStyle="1" w:styleId="a5">
    <w:name w:val="Нижний колонтитул Знак"/>
    <w:basedOn w:val="a0"/>
    <w:link w:val="a4"/>
    <w:uiPriority w:val="99"/>
    <w:semiHidden/>
    <w:rsid w:val="008B643A"/>
  </w:style>
  <w:style w:type="paragraph" w:styleId="a6">
    <w:name w:val="Balloon Text"/>
    <w:basedOn w:val="a"/>
    <w:link w:val="a7"/>
    <w:uiPriority w:val="99"/>
    <w:semiHidden/>
    <w:unhideWhenUsed/>
    <w:rsid w:val="000A4C03"/>
    <w:rPr>
      <w:rFonts w:ascii="Tahoma" w:hAnsi="Tahoma"/>
      <w:sz w:val="16"/>
      <w:szCs w:val="16"/>
    </w:rPr>
  </w:style>
  <w:style w:type="character" w:customStyle="1" w:styleId="a7">
    <w:name w:val="Текст выноски Знак"/>
    <w:basedOn w:val="a0"/>
    <w:link w:val="a6"/>
    <w:uiPriority w:val="99"/>
    <w:semiHidden/>
    <w:rsid w:val="000A4C03"/>
    <w:rPr>
      <w:rFonts w:ascii="Tahoma" w:hAnsi="Tahoma"/>
      <w:sz w:val="16"/>
      <w:szCs w:val="16"/>
    </w:rPr>
  </w:style>
  <w:style w:type="paragraph" w:styleId="a8">
    <w:name w:val="Body Text"/>
    <w:basedOn w:val="a"/>
    <w:link w:val="a9"/>
    <w:rsid w:val="00710736"/>
    <w:pPr>
      <w:autoSpaceDN/>
      <w:spacing w:after="283"/>
      <w:textAlignment w:val="auto"/>
    </w:pPr>
    <w:rPr>
      <w:rFonts w:cs="Times New Roman"/>
      <w:color w:val="000000"/>
      <w:kern w:val="0"/>
      <w:lang w:val="en-US"/>
    </w:rPr>
  </w:style>
  <w:style w:type="character" w:customStyle="1" w:styleId="a9">
    <w:name w:val="Основной текст Знак"/>
    <w:basedOn w:val="a0"/>
    <w:link w:val="a8"/>
    <w:rsid w:val="00710736"/>
    <w:rPr>
      <w:rFonts w:cs="Times New Roman"/>
      <w:color w:val="000000"/>
      <w:kern w:val="0"/>
      <w:lang w:val="en-US"/>
    </w:rPr>
  </w:style>
  <w:style w:type="paragraph" w:customStyle="1" w:styleId="Tekstpodstawowy31">
    <w:name w:val="Tekst podstawowy 31"/>
    <w:basedOn w:val="a"/>
    <w:rsid w:val="00710736"/>
    <w:pPr>
      <w:autoSpaceDE w:val="0"/>
      <w:autoSpaceDN/>
      <w:jc w:val="both"/>
      <w:textAlignment w:val="auto"/>
    </w:pPr>
    <w:rPr>
      <w:rFonts w:cs="Times New Roman"/>
      <w:color w:val="000000"/>
      <w:kern w:val="0"/>
      <w:lang w:val="en-US"/>
    </w:rPr>
  </w:style>
  <w:style w:type="character" w:customStyle="1" w:styleId="10">
    <w:name w:val="Заголовок 1 Знак"/>
    <w:basedOn w:val="a0"/>
    <w:link w:val="1"/>
    <w:uiPriority w:val="9"/>
    <w:rsid w:val="00BA38DF"/>
    <w:rPr>
      <w:rFonts w:asciiTheme="majorHAnsi" w:eastAsiaTheme="majorEastAsia" w:hAnsiTheme="majorHAnsi" w:cstheme="majorBidi"/>
      <w:b/>
      <w:bCs/>
      <w:color w:val="365F91" w:themeColor="accent1" w:themeShade="BF"/>
      <w:sz w:val="28"/>
      <w:szCs w:val="28"/>
    </w:rPr>
  </w:style>
  <w:style w:type="paragraph" w:styleId="aa">
    <w:name w:val="TOC Heading"/>
    <w:basedOn w:val="1"/>
    <w:next w:val="a"/>
    <w:uiPriority w:val="39"/>
    <w:semiHidden/>
    <w:unhideWhenUsed/>
    <w:qFormat/>
    <w:rsid w:val="00BA38DF"/>
    <w:pPr>
      <w:widowControl/>
      <w:suppressAutoHyphens w:val="0"/>
      <w:autoSpaceDN/>
      <w:spacing w:line="276" w:lineRule="auto"/>
      <w:textAlignment w:val="auto"/>
      <w:outlineLvl w:val="9"/>
    </w:pPr>
    <w:rPr>
      <w:kern w:val="0"/>
      <w:lang w:val="en-US" w:eastAsia="ja-JP"/>
    </w:rPr>
  </w:style>
  <w:style w:type="paragraph" w:styleId="11">
    <w:name w:val="toc 1"/>
    <w:basedOn w:val="a"/>
    <w:next w:val="a"/>
    <w:autoRedefine/>
    <w:uiPriority w:val="39"/>
    <w:unhideWhenUsed/>
    <w:rsid w:val="00BA38DF"/>
    <w:pPr>
      <w:spacing w:after="100"/>
    </w:pPr>
  </w:style>
  <w:style w:type="paragraph" w:styleId="2">
    <w:name w:val="toc 2"/>
    <w:basedOn w:val="a"/>
    <w:next w:val="a"/>
    <w:autoRedefine/>
    <w:uiPriority w:val="39"/>
    <w:unhideWhenUsed/>
    <w:rsid w:val="00BA38DF"/>
    <w:pPr>
      <w:spacing w:after="100"/>
      <w:ind w:left="240"/>
    </w:pPr>
  </w:style>
  <w:style w:type="character" w:styleId="ab">
    <w:name w:val="Hyperlink"/>
    <w:basedOn w:val="a0"/>
    <w:uiPriority w:val="99"/>
    <w:unhideWhenUsed/>
    <w:rsid w:val="00BA38D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tp.nci.nih.gov/" TargetMode="External"/><Relationship Id="rId13" Type="http://schemas.openxmlformats.org/officeDocument/2006/relationships/image" Target="media/image2.png"/><Relationship Id="rId18" Type="http://schemas.openxmlformats.org/officeDocument/2006/relationships/image" Target="media/image7.png"/><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vozhai@smtp.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hyperlink" Target="http://www.cheburator.nevozhay.com/"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www.lazarus.freepascal.org/" TargetMode="External"/><Relationship Id="rId14" Type="http://schemas.openxmlformats.org/officeDocument/2006/relationships/image" Target="media/image3.png"/><Relationship Id="rId22"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86564-23B9-44F0-B1CF-9115F2A52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16</Pages>
  <Words>4487</Words>
  <Characters>25581</Characters>
  <Application>Microsoft Office Word</Application>
  <DocSecurity>0</DocSecurity>
  <Lines>213</Lines>
  <Paragraphs>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Cheburator%20user%20manual-formatted</vt:lpstr>
      <vt:lpstr>Cheburator%20user%20manual-formatted</vt:lpstr>
    </vt:vector>
  </TitlesOfParts>
  <Company>Grizli777</Company>
  <LinksUpToDate>false</LinksUpToDate>
  <CharactersWithSpaces>30008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Cheburator%20user%20manual-formatted</dc:title>
  <dc:creator>User</dc:creator>
  <cp:lastModifiedBy>JUser</cp:lastModifiedBy>
  <cp:revision>22</cp:revision>
  <cp:lastPrinted>2014-05-19T07:27:00Z</cp:lastPrinted>
  <dcterms:created xsi:type="dcterms:W3CDTF">2014-01-20T19:40:00Z</dcterms:created>
  <dcterms:modified xsi:type="dcterms:W3CDTF">2014-07-28T11:17:00Z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